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60" w:rsidRPr="006F6D3B" w:rsidRDefault="008E0E60" w:rsidP="008E0E60">
      <w:pPr>
        <w:tabs>
          <w:tab w:val="left" w:pos="8670"/>
        </w:tabs>
        <w:spacing w:after="0" w:line="180" w:lineRule="atLeast"/>
        <w:ind w:left="20" w:right="-705" w:firstLine="700"/>
        <w:jc w:val="both"/>
        <w:rPr>
          <w:rFonts w:ascii="Arial" w:eastAsia="Times New Roman" w:hAnsi="Arial" w:cs="Arial"/>
          <w:color w:val="000000"/>
          <w:spacing w:val="4"/>
          <w:szCs w:val="20"/>
        </w:rPr>
      </w:pPr>
      <w:r w:rsidRPr="006F6D3B">
        <w:rPr>
          <w:rFonts w:ascii="Arial" w:eastAsia="Times New Roman" w:hAnsi="Arial" w:cs="Arial"/>
          <w:color w:val="000000"/>
          <w:spacing w:val="4"/>
          <w:szCs w:val="20"/>
        </w:rPr>
        <w:tab/>
        <w:t>No.3288</w:t>
      </w:r>
    </w:p>
    <w:p w:rsidR="008E0E60" w:rsidRPr="006F6D3B" w:rsidRDefault="008E0E60" w:rsidP="008E0E60">
      <w:pPr>
        <w:tabs>
          <w:tab w:val="left" w:pos="8670"/>
        </w:tabs>
        <w:spacing w:after="0" w:line="180" w:lineRule="atLeast"/>
        <w:ind w:left="20" w:right="-705" w:firstLine="700"/>
        <w:jc w:val="both"/>
        <w:rPr>
          <w:rFonts w:ascii="Arial" w:eastAsia="Times New Roman" w:hAnsi="Arial" w:cs="Arial"/>
          <w:color w:val="000000"/>
          <w:spacing w:val="4"/>
          <w:szCs w:val="20"/>
        </w:rPr>
      </w:pPr>
      <w:r w:rsidRPr="006F6D3B">
        <w:rPr>
          <w:rFonts w:ascii="Arial" w:eastAsia="Times New Roman" w:hAnsi="Arial" w:cs="Arial"/>
          <w:color w:val="000000"/>
          <w:spacing w:val="4"/>
          <w:szCs w:val="20"/>
        </w:rPr>
        <w:tab/>
        <w:t>26/12/2013</w:t>
      </w:r>
    </w:p>
    <w:p w:rsidR="008E0E60" w:rsidRPr="006F6D3B" w:rsidRDefault="008E0E60" w:rsidP="00285551">
      <w:pPr>
        <w:spacing w:after="0" w:line="180" w:lineRule="atLeast"/>
        <w:ind w:left="20" w:firstLine="700"/>
        <w:jc w:val="both"/>
        <w:rPr>
          <w:rFonts w:ascii="Arial" w:eastAsia="Times New Roman" w:hAnsi="Arial" w:cs="Arial"/>
          <w:color w:val="000000"/>
          <w:spacing w:val="4"/>
          <w:szCs w:val="20"/>
        </w:rPr>
      </w:pPr>
    </w:p>
    <w:p w:rsidR="00285551" w:rsidRPr="006F6D3B" w:rsidRDefault="008E0E60" w:rsidP="00285551">
      <w:pPr>
        <w:spacing w:after="0" w:line="180" w:lineRule="atLeast"/>
        <w:ind w:left="20" w:firstLine="700"/>
        <w:jc w:val="both"/>
        <w:rPr>
          <w:rFonts w:ascii="Arial" w:eastAsia="Times New Roman" w:hAnsi="Arial" w:cs="Arial"/>
          <w:color w:val="000000"/>
          <w:szCs w:val="20"/>
        </w:rPr>
      </w:pPr>
      <w:r w:rsidRPr="006F6D3B">
        <w:rPr>
          <w:rFonts w:ascii="Arial" w:eastAsia="Times New Roman" w:hAnsi="Arial" w:cs="Arial"/>
          <w:color w:val="000000"/>
          <w:spacing w:val="4"/>
          <w:szCs w:val="20"/>
        </w:rPr>
        <w:t>Dear All</w:t>
      </w:r>
      <w:r w:rsidR="00285551" w:rsidRPr="006F6D3B">
        <w:rPr>
          <w:rFonts w:ascii="Arial" w:eastAsia="Times New Roman" w:hAnsi="Arial" w:cs="Arial"/>
          <w:color w:val="000000"/>
          <w:spacing w:val="4"/>
          <w:szCs w:val="20"/>
        </w:rPr>
        <w:t>,</w:t>
      </w:r>
    </w:p>
    <w:p w:rsidR="008E0E60" w:rsidRPr="006F6D3B" w:rsidRDefault="008E0E60" w:rsidP="008E0E60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8E0E60" w:rsidRPr="006F6D3B" w:rsidRDefault="008E0E60" w:rsidP="006F6D3B">
      <w:pPr>
        <w:pStyle w:val="Bodytext0"/>
        <w:spacing w:after="292" w:line="235" w:lineRule="exact"/>
        <w:ind w:right="20" w:firstLine="680"/>
        <w:rPr>
          <w:rFonts w:ascii="Arial" w:hAnsi="Arial" w:cs="Arial"/>
          <w:sz w:val="20"/>
          <w:szCs w:val="20"/>
        </w:rPr>
      </w:pPr>
      <w:r w:rsidRPr="006F6D3B">
        <w:rPr>
          <w:rFonts w:ascii="Arial" w:hAnsi="Arial" w:cs="Arial"/>
          <w:sz w:val="20"/>
          <w:szCs w:val="20"/>
        </w:rPr>
        <w:t>Regarding the request for clarification submitted on 24/12/2013 (filed with the Procuring entity under number</w:t>
      </w:r>
      <w:r w:rsidR="006F6D3B">
        <w:rPr>
          <w:rFonts w:ascii="Arial" w:hAnsi="Arial" w:cs="Arial"/>
          <w:sz w:val="20"/>
          <w:szCs w:val="20"/>
        </w:rPr>
        <w:t>s</w:t>
      </w:r>
      <w:r w:rsidRPr="006F6D3B">
        <w:rPr>
          <w:rFonts w:ascii="Arial" w:hAnsi="Arial" w:cs="Arial"/>
          <w:sz w:val="20"/>
          <w:szCs w:val="20"/>
        </w:rPr>
        <w:t xml:space="preserve"> 3283 and 3284), in relation to the public procurement: "Development of main design for Centers of Excellence of the University of </w:t>
      </w:r>
      <w:proofErr w:type="spellStart"/>
      <w:r w:rsidRPr="006F6D3B">
        <w:rPr>
          <w:rFonts w:ascii="Arial" w:hAnsi="Arial" w:cs="Arial"/>
          <w:sz w:val="20"/>
          <w:szCs w:val="20"/>
        </w:rPr>
        <w:t>Kragujevac</w:t>
      </w:r>
      <w:proofErr w:type="spellEnd"/>
      <w:r w:rsidRPr="006F6D3B">
        <w:rPr>
          <w:rFonts w:ascii="Arial" w:hAnsi="Arial" w:cs="Arial"/>
          <w:sz w:val="20"/>
          <w:szCs w:val="20"/>
        </w:rPr>
        <w:t>", number 10R/2-2013, we submit the following answers:</w:t>
      </w:r>
    </w:p>
    <w:p w:rsidR="00285551" w:rsidRPr="006F6D3B" w:rsidRDefault="00285551" w:rsidP="006F6D3B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285551" w:rsidRPr="006F6D3B" w:rsidRDefault="00285551" w:rsidP="006F6D3B">
      <w:pPr>
        <w:spacing w:after="0" w:line="180" w:lineRule="atLeast"/>
        <w:jc w:val="both"/>
        <w:rPr>
          <w:rFonts w:ascii="Arial" w:eastAsia="Times New Roman" w:hAnsi="Arial" w:cs="Arial"/>
          <w:color w:val="000000"/>
          <w:szCs w:val="20"/>
        </w:rPr>
      </w:pPr>
      <w:r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The answer to the question under </w:t>
      </w:r>
      <w:r w:rsidR="008E0E60" w:rsidRPr="006F6D3B">
        <w:rPr>
          <w:rFonts w:ascii="Arial" w:eastAsia="Times New Roman" w:hAnsi="Arial" w:cs="Arial"/>
          <w:color w:val="000000"/>
          <w:spacing w:val="4"/>
          <w:szCs w:val="20"/>
        </w:rPr>
        <w:t>point 1 (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>request for clarification under number 3283):</w:t>
      </w:r>
    </w:p>
    <w:p w:rsidR="00285551" w:rsidRPr="006F6D3B" w:rsidRDefault="008E0E60" w:rsidP="006F6D3B">
      <w:pPr>
        <w:spacing w:after="354" w:line="180" w:lineRule="atLeast"/>
        <w:ind w:firstLine="700"/>
        <w:jc w:val="both"/>
        <w:rPr>
          <w:rFonts w:ascii="Arial" w:eastAsia="Times New Roman" w:hAnsi="Arial" w:cs="Arial"/>
          <w:color w:val="000000"/>
          <w:szCs w:val="20"/>
        </w:rPr>
      </w:pPr>
      <w:r w:rsidRPr="006F6D3B">
        <w:rPr>
          <w:rFonts w:ascii="Arial" w:eastAsia="Times New Roman" w:hAnsi="Arial" w:cs="Arial"/>
          <w:color w:val="000000"/>
          <w:spacing w:val="4"/>
          <w:szCs w:val="20"/>
        </w:rPr>
        <w:t>A</w:t>
      </w:r>
      <w:r w:rsidR="00285551"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ny licensed 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ACAD </w:t>
      </w:r>
      <w:r w:rsidR="00285551" w:rsidRPr="006F6D3B">
        <w:rPr>
          <w:rFonts w:ascii="Arial" w:eastAsia="Times New Roman" w:hAnsi="Arial" w:cs="Arial"/>
          <w:color w:val="000000"/>
          <w:spacing w:val="4"/>
          <w:szCs w:val="20"/>
        </w:rPr>
        <w:t>software with a valid license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 shall be eligible.</w:t>
      </w:r>
    </w:p>
    <w:p w:rsidR="00285551" w:rsidRPr="006F6D3B" w:rsidRDefault="00285551" w:rsidP="00285551">
      <w:pPr>
        <w:spacing w:after="0" w:line="235" w:lineRule="atLeast"/>
        <w:ind w:left="20" w:firstLine="700"/>
        <w:jc w:val="both"/>
        <w:rPr>
          <w:rFonts w:ascii="Arial" w:eastAsia="Times New Roman" w:hAnsi="Arial" w:cs="Arial"/>
          <w:color w:val="000000"/>
          <w:szCs w:val="20"/>
        </w:rPr>
      </w:pPr>
      <w:r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The answer to the question under </w:t>
      </w:r>
      <w:r w:rsidR="008E0E60" w:rsidRPr="006F6D3B">
        <w:rPr>
          <w:rFonts w:ascii="Arial" w:eastAsia="Times New Roman" w:hAnsi="Arial" w:cs="Arial"/>
          <w:color w:val="000000"/>
          <w:spacing w:val="4"/>
          <w:szCs w:val="20"/>
        </w:rPr>
        <w:t>point 1 (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>requ</w:t>
      </w:r>
      <w:r w:rsidR="008E0E60"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est for clarification under 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>number 3284):</w:t>
      </w:r>
    </w:p>
    <w:p w:rsidR="00285551" w:rsidRPr="006F6D3B" w:rsidRDefault="00285551" w:rsidP="00285551">
      <w:pPr>
        <w:spacing w:after="284" w:line="235" w:lineRule="atLeast"/>
        <w:ind w:left="20" w:right="20" w:firstLine="700"/>
        <w:jc w:val="both"/>
        <w:rPr>
          <w:rFonts w:ascii="Arial" w:eastAsia="Times New Roman" w:hAnsi="Arial" w:cs="Arial"/>
          <w:color w:val="000000"/>
          <w:szCs w:val="20"/>
        </w:rPr>
      </w:pPr>
      <w:r w:rsidRPr="006F6D3B">
        <w:rPr>
          <w:rFonts w:ascii="Arial" w:eastAsia="Times New Roman" w:hAnsi="Arial" w:cs="Arial"/>
          <w:color w:val="000000"/>
          <w:spacing w:val="4"/>
          <w:szCs w:val="20"/>
        </w:rPr>
        <w:t>1.1.</w:t>
      </w:r>
      <w:r w:rsidRPr="006F6D3B">
        <w:rPr>
          <w:rFonts w:ascii="Arial" w:eastAsia="Times New Roman" w:hAnsi="Arial" w:cs="Arial"/>
          <w:color w:val="000000"/>
          <w:szCs w:val="20"/>
        </w:rPr>
        <w:t>         </w:t>
      </w:r>
      <w:r w:rsidR="008E0E60" w:rsidRPr="006F6D3B">
        <w:rPr>
          <w:rFonts w:ascii="Arial" w:eastAsia="Times New Roman" w:hAnsi="Arial" w:cs="Arial"/>
          <w:color w:val="000000"/>
          <w:spacing w:val="4"/>
          <w:szCs w:val="20"/>
        </w:rPr>
        <w:t>Proof</w:t>
      </w:r>
      <w:r w:rsidR="008D7F56"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 of available liquid assets is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 not strictly defined </w:t>
      </w:r>
      <w:r w:rsidR="008E0E60" w:rsidRPr="006F6D3B">
        <w:rPr>
          <w:rFonts w:ascii="Arial" w:eastAsia="Times New Roman" w:hAnsi="Arial" w:cs="Arial"/>
          <w:color w:val="000000"/>
          <w:spacing w:val="4"/>
          <w:szCs w:val="20"/>
        </w:rPr>
        <w:t>in the tender documents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, but </w:t>
      </w:r>
      <w:r w:rsidR="005227DB"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we 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will accept the account statement on the day of </w:t>
      </w:r>
      <w:r w:rsidR="008D7F56"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submission of </w:t>
      </w:r>
      <w:r w:rsidR="005227DB"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the </w:t>
      </w:r>
      <w:r w:rsidR="008D7F56" w:rsidRPr="006F6D3B">
        <w:rPr>
          <w:rFonts w:ascii="Arial" w:eastAsia="Times New Roman" w:hAnsi="Arial" w:cs="Arial"/>
          <w:color w:val="000000"/>
          <w:spacing w:val="4"/>
          <w:szCs w:val="20"/>
        </w:rPr>
        <w:t>bid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, </w:t>
      </w:r>
      <w:r w:rsidR="008D7F56" w:rsidRPr="006F6D3B">
        <w:rPr>
          <w:rFonts w:ascii="Arial" w:eastAsia="Times New Roman" w:hAnsi="Arial" w:cs="Arial"/>
          <w:color w:val="000000"/>
          <w:spacing w:val="4"/>
          <w:szCs w:val="20"/>
        </w:rPr>
        <w:t>Agreements on time deposits</w:t>
      </w:r>
      <w:r w:rsidR="005227DB"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 with banks or Agreement with bank on </w:t>
      </w:r>
      <w:r w:rsidR="008D7F56"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open credit </w:t>
      </w:r>
      <w:r w:rsidR="005227DB" w:rsidRPr="006F6D3B">
        <w:rPr>
          <w:rFonts w:ascii="Arial" w:eastAsia="Times New Roman" w:hAnsi="Arial" w:cs="Arial"/>
          <w:color w:val="000000"/>
          <w:spacing w:val="4"/>
          <w:szCs w:val="20"/>
        </w:rPr>
        <w:t>line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 and similar documents.</w:t>
      </w:r>
      <w:r w:rsidRPr="006F6D3B">
        <w:rPr>
          <w:rFonts w:ascii="Arial" w:eastAsia="Times New Roman" w:hAnsi="Arial" w:cs="Arial"/>
          <w:color w:val="000000"/>
          <w:szCs w:val="20"/>
        </w:rPr>
        <w:t> </w:t>
      </w:r>
      <w:r w:rsidR="005227DB"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In order to prove that the 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bidder possesses </w:t>
      </w:r>
      <w:r w:rsidR="004A51D9">
        <w:rPr>
          <w:rFonts w:ascii="Arial" w:eastAsia="Times New Roman" w:hAnsi="Arial" w:cs="Arial"/>
          <w:color w:val="000000"/>
          <w:spacing w:val="4"/>
          <w:szCs w:val="20"/>
        </w:rPr>
        <w:t xml:space="preserve">the </w:t>
      </w:r>
      <w:r w:rsidR="005227DB"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non-encumbered 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immovable </w:t>
      </w:r>
      <w:r w:rsidR="005227DB" w:rsidRPr="006F6D3B">
        <w:rPr>
          <w:rFonts w:ascii="Arial" w:eastAsia="Times New Roman" w:hAnsi="Arial" w:cs="Arial"/>
          <w:color w:val="000000"/>
          <w:spacing w:val="4"/>
          <w:szCs w:val="20"/>
        </w:rPr>
        <w:t>assets</w:t>
      </w:r>
      <w:r w:rsidR="004A51D9">
        <w:rPr>
          <w:rFonts w:ascii="Arial" w:eastAsia="Times New Roman" w:hAnsi="Arial" w:cs="Arial"/>
          <w:color w:val="000000"/>
          <w:spacing w:val="4"/>
          <w:szCs w:val="20"/>
        </w:rPr>
        <w:t xml:space="preserve">, </w:t>
      </w:r>
      <w:r w:rsidR="005227DB"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Land 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>certificates</w:t>
      </w:r>
      <w:r w:rsidR="002234DA" w:rsidRPr="006F6D3B">
        <w:rPr>
          <w:rFonts w:ascii="Arial" w:eastAsia="Times New Roman" w:hAnsi="Arial" w:cs="Arial"/>
          <w:color w:val="000000"/>
          <w:spacing w:val="4"/>
          <w:szCs w:val="20"/>
        </w:rPr>
        <w:t>/Cadastre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 </w:t>
      </w:r>
      <w:r w:rsidR="004A51D9">
        <w:rPr>
          <w:rFonts w:ascii="Arial" w:eastAsia="Times New Roman" w:hAnsi="Arial" w:cs="Arial"/>
          <w:color w:val="000000"/>
          <w:spacing w:val="4"/>
          <w:szCs w:val="20"/>
        </w:rPr>
        <w:t xml:space="preserve">shall be submitted, </w:t>
      </w:r>
      <w:r w:rsidR="002234DA"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issued within the 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period of </w:t>
      </w:r>
      <w:r w:rsidR="002234DA"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bid 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>preparation</w:t>
      </w:r>
      <w:r w:rsidR="002234DA" w:rsidRPr="006F6D3B">
        <w:rPr>
          <w:rFonts w:ascii="Arial" w:eastAsia="Times New Roman" w:hAnsi="Arial" w:cs="Arial"/>
          <w:color w:val="000000"/>
          <w:spacing w:val="4"/>
          <w:szCs w:val="20"/>
        </w:rPr>
        <w:t>.</w:t>
      </w:r>
      <w:r w:rsidRPr="006F6D3B">
        <w:rPr>
          <w:rFonts w:ascii="Arial" w:eastAsia="Times New Roman" w:hAnsi="Arial" w:cs="Arial"/>
          <w:color w:val="000000"/>
          <w:szCs w:val="20"/>
        </w:rPr>
        <w:t> </w:t>
      </w:r>
      <w:r w:rsidR="002234DA" w:rsidRPr="006F6D3B">
        <w:rPr>
          <w:rFonts w:ascii="Arial" w:eastAsia="Times New Roman" w:hAnsi="Arial" w:cs="Arial"/>
          <w:color w:val="000000"/>
          <w:spacing w:val="4"/>
          <w:szCs w:val="20"/>
        </w:rPr>
        <w:t>Investor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 reserves the right to </w:t>
      </w:r>
      <w:r w:rsidR="002234DA" w:rsidRPr="006F6D3B">
        <w:rPr>
          <w:rFonts w:ascii="Arial" w:eastAsia="Times New Roman" w:hAnsi="Arial" w:cs="Arial"/>
          <w:color w:val="000000"/>
          <w:spacing w:val="4"/>
          <w:szCs w:val="20"/>
        </w:rPr>
        <w:t>assess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 the </w:t>
      </w:r>
      <w:r w:rsidR="004A51D9">
        <w:rPr>
          <w:rFonts w:ascii="Arial" w:eastAsia="Times New Roman" w:hAnsi="Arial" w:cs="Arial"/>
          <w:color w:val="000000"/>
          <w:spacing w:val="4"/>
          <w:szCs w:val="20"/>
        </w:rPr>
        <w:t xml:space="preserve">offered </w:t>
      </w:r>
      <w:r w:rsidR="002234DA" w:rsidRPr="006F6D3B">
        <w:rPr>
          <w:rFonts w:ascii="Arial" w:eastAsia="Times New Roman" w:hAnsi="Arial" w:cs="Arial"/>
          <w:color w:val="000000"/>
          <w:spacing w:val="4"/>
          <w:szCs w:val="20"/>
        </w:rPr>
        <w:t>proofs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 as satisfactory after being compared with </w:t>
      </w:r>
      <w:r w:rsidR="004A51D9">
        <w:rPr>
          <w:rFonts w:ascii="Arial" w:eastAsia="Times New Roman" w:hAnsi="Arial" w:cs="Arial"/>
          <w:color w:val="000000"/>
          <w:spacing w:val="4"/>
          <w:szCs w:val="20"/>
        </w:rPr>
        <w:t xml:space="preserve">the 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>data from other accompanying documents (</w:t>
      </w:r>
      <w:r w:rsidR="002234DA" w:rsidRPr="006F6D3B">
        <w:rPr>
          <w:rFonts w:ascii="Arial" w:eastAsia="Times New Roman" w:hAnsi="Arial" w:cs="Arial"/>
          <w:color w:val="000000"/>
          <w:spacing w:val="4"/>
          <w:szCs w:val="20"/>
        </w:rPr>
        <w:t>e.g. submitted proofs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 of liquid assets </w:t>
      </w:r>
      <w:r w:rsidR="002234DA"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shall 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be compared </w:t>
      </w:r>
      <w:r w:rsidR="002234DA" w:rsidRPr="006F6D3B">
        <w:rPr>
          <w:rFonts w:ascii="Arial" w:eastAsia="Times New Roman" w:hAnsi="Arial" w:cs="Arial"/>
          <w:color w:val="000000"/>
          <w:spacing w:val="4"/>
          <w:szCs w:val="20"/>
        </w:rPr>
        <w:t>with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 the balance sheet liability </w:t>
      </w:r>
      <w:r w:rsidR="002234DA"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of the 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>bidder).</w:t>
      </w:r>
    </w:p>
    <w:p w:rsidR="00285551" w:rsidRPr="006F6D3B" w:rsidRDefault="00285551" w:rsidP="00285551">
      <w:pPr>
        <w:spacing w:after="170" w:line="180" w:lineRule="atLeast"/>
        <w:ind w:left="20" w:firstLine="700"/>
        <w:jc w:val="both"/>
        <w:rPr>
          <w:rFonts w:ascii="Arial" w:eastAsia="Times New Roman" w:hAnsi="Arial" w:cs="Arial"/>
          <w:color w:val="000000"/>
          <w:szCs w:val="20"/>
        </w:rPr>
      </w:pPr>
      <w:r w:rsidRPr="006F6D3B">
        <w:rPr>
          <w:rFonts w:ascii="Arial" w:eastAsia="Times New Roman" w:hAnsi="Arial" w:cs="Arial"/>
          <w:color w:val="000000"/>
          <w:spacing w:val="4"/>
          <w:szCs w:val="20"/>
        </w:rPr>
        <w:t>1.2.</w:t>
      </w:r>
      <w:r w:rsidRPr="006F6D3B">
        <w:rPr>
          <w:rFonts w:ascii="Arial" w:eastAsia="Times New Roman" w:hAnsi="Arial" w:cs="Arial"/>
          <w:color w:val="000000"/>
          <w:szCs w:val="20"/>
        </w:rPr>
        <w:t>    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>Lead</w:t>
      </w:r>
      <w:r w:rsidR="002234DA" w:rsidRPr="006F6D3B">
        <w:rPr>
          <w:rFonts w:ascii="Arial" w:eastAsia="Times New Roman" w:hAnsi="Arial" w:cs="Arial"/>
          <w:color w:val="000000"/>
          <w:spacing w:val="4"/>
          <w:szCs w:val="20"/>
        </w:rPr>
        <w:t>ing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 partner should meet 50% </w:t>
      </w:r>
      <w:r w:rsidR="002234DA"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of the requests </w:t>
      </w:r>
      <w:r w:rsidR="00821DC4">
        <w:rPr>
          <w:rFonts w:ascii="Arial" w:eastAsia="Times New Roman" w:hAnsi="Arial" w:cs="Arial"/>
          <w:color w:val="000000"/>
          <w:spacing w:val="4"/>
          <w:szCs w:val="20"/>
        </w:rPr>
        <w:t>in</w:t>
      </w:r>
      <w:r w:rsidR="002234DA"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 the bid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>.</w:t>
      </w:r>
    </w:p>
    <w:p w:rsidR="002234DA" w:rsidRPr="006F6D3B" w:rsidRDefault="00285551" w:rsidP="002234DA">
      <w:pPr>
        <w:spacing w:after="0" w:line="235" w:lineRule="atLeast"/>
        <w:ind w:left="20" w:right="20" w:firstLine="700"/>
        <w:jc w:val="both"/>
        <w:rPr>
          <w:rFonts w:ascii="Arial" w:eastAsia="Times New Roman" w:hAnsi="Arial" w:cs="Arial"/>
          <w:color w:val="000000"/>
          <w:spacing w:val="4"/>
          <w:szCs w:val="20"/>
        </w:rPr>
      </w:pPr>
      <w:r w:rsidRPr="006F6D3B">
        <w:rPr>
          <w:rFonts w:ascii="Arial" w:eastAsia="Times New Roman" w:hAnsi="Arial" w:cs="Arial"/>
          <w:color w:val="000000"/>
          <w:spacing w:val="4"/>
          <w:szCs w:val="20"/>
        </w:rPr>
        <w:t>1.3.</w:t>
      </w:r>
      <w:r w:rsidRPr="006F6D3B">
        <w:rPr>
          <w:rFonts w:ascii="Arial" w:eastAsia="Times New Roman" w:hAnsi="Arial" w:cs="Arial"/>
          <w:color w:val="000000"/>
          <w:szCs w:val="20"/>
        </w:rPr>
        <w:t> </w:t>
      </w:r>
      <w:r w:rsidR="002234DA" w:rsidRPr="006F6D3B">
        <w:rPr>
          <w:rFonts w:ascii="Arial" w:eastAsia="Times New Roman" w:hAnsi="Arial" w:cs="Arial"/>
          <w:color w:val="000000"/>
          <w:szCs w:val="20"/>
        </w:rPr>
        <w:t xml:space="preserve">   Certified 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PP </w:t>
      </w:r>
      <w:r w:rsidR="002234DA"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OD 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and PP </w:t>
      </w:r>
      <w:r w:rsidR="002234DA"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OPJ </w:t>
      </w:r>
      <w:r w:rsidR="006F6D3B">
        <w:rPr>
          <w:rFonts w:ascii="Arial" w:eastAsia="Times New Roman" w:hAnsi="Arial" w:cs="Arial"/>
          <w:color w:val="000000"/>
          <w:spacing w:val="4"/>
          <w:szCs w:val="20"/>
        </w:rPr>
        <w:t xml:space="preserve">forms shall be </w:t>
      </w:r>
      <w:r w:rsidR="002234DA" w:rsidRPr="006F6D3B">
        <w:rPr>
          <w:rFonts w:ascii="Arial" w:eastAsia="Times New Roman" w:hAnsi="Arial" w:cs="Arial"/>
          <w:color w:val="000000"/>
          <w:spacing w:val="4"/>
          <w:szCs w:val="20"/>
        </w:rPr>
        <w:t>accepted as a proof of regular fulfillment of obligations to employees.</w:t>
      </w:r>
    </w:p>
    <w:p w:rsidR="002234DA" w:rsidRPr="006F6D3B" w:rsidRDefault="002234DA" w:rsidP="002234DA">
      <w:pPr>
        <w:spacing w:after="0" w:line="235" w:lineRule="atLeast"/>
        <w:ind w:left="20" w:right="20" w:firstLine="700"/>
        <w:jc w:val="both"/>
        <w:rPr>
          <w:rFonts w:ascii="Arial" w:eastAsia="Times New Roman" w:hAnsi="Arial" w:cs="Arial"/>
          <w:color w:val="000000"/>
          <w:szCs w:val="20"/>
        </w:rPr>
      </w:pPr>
    </w:p>
    <w:p w:rsidR="00285551" w:rsidRPr="006F6D3B" w:rsidRDefault="00285551" w:rsidP="002234DA">
      <w:pPr>
        <w:spacing w:after="0" w:line="235" w:lineRule="atLeast"/>
        <w:ind w:left="20" w:right="20" w:firstLine="700"/>
        <w:jc w:val="both"/>
        <w:rPr>
          <w:rFonts w:ascii="Arial" w:eastAsia="Times New Roman" w:hAnsi="Arial" w:cs="Arial"/>
          <w:szCs w:val="20"/>
        </w:rPr>
      </w:pPr>
      <w:r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The answer to the question under </w:t>
      </w:r>
      <w:r w:rsidR="002234DA" w:rsidRPr="006F6D3B">
        <w:rPr>
          <w:rFonts w:ascii="Arial" w:eastAsia="Times New Roman" w:hAnsi="Arial" w:cs="Arial"/>
          <w:color w:val="000000"/>
          <w:spacing w:val="4"/>
          <w:szCs w:val="20"/>
        </w:rPr>
        <w:t>point 2: (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>request for clarification under number 3284):</w:t>
      </w:r>
    </w:p>
    <w:p w:rsidR="00285551" w:rsidRPr="006F6D3B" w:rsidRDefault="006F6D3B" w:rsidP="00285551">
      <w:pPr>
        <w:spacing w:after="0" w:line="235" w:lineRule="atLeast"/>
        <w:ind w:left="20" w:right="20" w:firstLine="700"/>
        <w:jc w:val="both"/>
        <w:rPr>
          <w:rFonts w:ascii="Arial" w:eastAsia="Times New Roman" w:hAnsi="Arial" w:cs="Arial"/>
          <w:color w:val="000000"/>
          <w:szCs w:val="20"/>
        </w:rPr>
      </w:pPr>
      <w:proofErr w:type="gramStart"/>
      <w:r w:rsidRPr="006F6D3B">
        <w:rPr>
          <w:rFonts w:ascii="Arial" w:eastAsia="Times New Roman" w:hAnsi="Arial" w:cs="Arial"/>
          <w:color w:val="000000"/>
          <w:spacing w:val="4"/>
          <w:szCs w:val="20"/>
        </w:rPr>
        <w:t>E</w:t>
      </w:r>
      <w:r w:rsidR="002234DA"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ligibility criteria </w:t>
      </w:r>
      <w:r w:rsidR="00285551" w:rsidRPr="006F6D3B">
        <w:rPr>
          <w:rFonts w:ascii="Arial" w:eastAsia="Times New Roman" w:hAnsi="Arial" w:cs="Arial"/>
          <w:color w:val="000000"/>
          <w:spacing w:val="4"/>
          <w:szCs w:val="20"/>
        </w:rPr>
        <w:t>3.5.7.</w:t>
      </w:r>
      <w:proofErr w:type="gramEnd"/>
      <w:r w:rsidR="00285551" w:rsidRPr="006F6D3B">
        <w:rPr>
          <w:rFonts w:ascii="Arial" w:eastAsia="Times New Roman" w:hAnsi="Arial" w:cs="Arial"/>
          <w:color w:val="000000"/>
          <w:szCs w:val="20"/>
        </w:rPr>
        <w:t> </w:t>
      </w:r>
      <w:proofErr w:type="gramStart"/>
      <w:r w:rsidR="002234DA" w:rsidRPr="006F6D3B">
        <w:rPr>
          <w:rFonts w:ascii="Arial" w:eastAsia="Times New Roman" w:hAnsi="Arial" w:cs="Arial"/>
          <w:color w:val="000000"/>
          <w:szCs w:val="20"/>
        </w:rPr>
        <w:t>the</w:t>
      </w:r>
      <w:proofErr w:type="gramEnd"/>
      <w:r w:rsidR="002234DA" w:rsidRPr="006F6D3B">
        <w:rPr>
          <w:rFonts w:ascii="Arial" w:eastAsia="Times New Roman" w:hAnsi="Arial" w:cs="Arial"/>
          <w:color w:val="000000"/>
          <w:szCs w:val="20"/>
        </w:rPr>
        <w:t xml:space="preserve"> </w:t>
      </w:r>
      <w:r w:rsidR="00285551" w:rsidRPr="006F6D3B">
        <w:rPr>
          <w:rFonts w:ascii="Arial" w:eastAsia="Times New Roman" w:hAnsi="Arial" w:cs="Arial"/>
          <w:color w:val="000000"/>
          <w:spacing w:val="4"/>
          <w:szCs w:val="20"/>
        </w:rPr>
        <w:t>specified period of five years applies</w:t>
      </w:r>
      <w:r w:rsidR="002234DA"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 to the data </w:t>
      </w:r>
      <w:r>
        <w:rPr>
          <w:rFonts w:ascii="Arial" w:eastAsia="Times New Roman" w:hAnsi="Arial" w:cs="Arial"/>
          <w:color w:val="000000"/>
          <w:spacing w:val="4"/>
          <w:szCs w:val="20"/>
        </w:rPr>
        <w:t>for</w:t>
      </w:r>
      <w:r w:rsidR="002234DA"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 the years 2010, </w:t>
      </w:r>
      <w:r w:rsidR="00285551" w:rsidRPr="006F6D3B">
        <w:rPr>
          <w:rFonts w:ascii="Arial" w:eastAsia="Times New Roman" w:hAnsi="Arial" w:cs="Arial"/>
          <w:color w:val="000000"/>
          <w:spacing w:val="4"/>
          <w:szCs w:val="20"/>
        </w:rPr>
        <w:t>2011</w:t>
      </w:r>
      <w:r w:rsidR="002234DA"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 and </w:t>
      </w:r>
      <w:r w:rsidR="00285551" w:rsidRPr="006F6D3B">
        <w:rPr>
          <w:rFonts w:ascii="Arial" w:eastAsia="Times New Roman" w:hAnsi="Arial" w:cs="Arial"/>
          <w:color w:val="000000"/>
          <w:spacing w:val="4"/>
          <w:szCs w:val="20"/>
        </w:rPr>
        <w:t>2012</w:t>
      </w:r>
      <w:r w:rsidR="002234DA"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pacing w:val="4"/>
          <w:szCs w:val="20"/>
        </w:rPr>
        <w:t xml:space="preserve">together with the 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>assessments of value</w:t>
      </w:r>
      <w:r w:rsidR="00285551"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 for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 the years</w:t>
      </w:r>
      <w:r w:rsidR="00285551"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 2013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, </w:t>
      </w:r>
      <w:r w:rsidR="00285551" w:rsidRPr="006F6D3B">
        <w:rPr>
          <w:rFonts w:ascii="Arial" w:eastAsia="Times New Roman" w:hAnsi="Arial" w:cs="Arial"/>
          <w:color w:val="000000"/>
          <w:spacing w:val="4"/>
          <w:szCs w:val="20"/>
        </w:rPr>
        <w:t>2014</w:t>
      </w:r>
      <w:r>
        <w:rPr>
          <w:rFonts w:ascii="Arial" w:eastAsia="Times New Roman" w:hAnsi="Arial" w:cs="Arial"/>
          <w:color w:val="000000"/>
          <w:spacing w:val="4"/>
          <w:szCs w:val="20"/>
        </w:rPr>
        <w:t>,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 therefore the period of </w:t>
      </w:r>
      <w:r w:rsidR="00285551" w:rsidRPr="006F6D3B">
        <w:rPr>
          <w:rFonts w:ascii="Arial" w:eastAsia="Times New Roman" w:hAnsi="Arial" w:cs="Arial"/>
          <w:color w:val="000000"/>
          <w:spacing w:val="4"/>
          <w:szCs w:val="20"/>
        </w:rPr>
        <w:t>five years</w:t>
      </w:r>
      <w:r>
        <w:rPr>
          <w:rFonts w:ascii="Arial" w:eastAsia="Times New Roman" w:hAnsi="Arial" w:cs="Arial"/>
          <w:color w:val="000000"/>
          <w:spacing w:val="4"/>
          <w:szCs w:val="20"/>
        </w:rPr>
        <w:t xml:space="preserve"> has been</w:t>
      </w:r>
      <w:r w:rsidRPr="006F6D3B">
        <w:rPr>
          <w:rFonts w:ascii="Arial" w:eastAsia="Times New Roman" w:hAnsi="Arial" w:cs="Arial"/>
          <w:color w:val="000000"/>
          <w:spacing w:val="4"/>
          <w:szCs w:val="20"/>
        </w:rPr>
        <w:t xml:space="preserve"> mentioned</w:t>
      </w:r>
      <w:r w:rsidR="00285551" w:rsidRPr="006F6D3B">
        <w:rPr>
          <w:rFonts w:ascii="Arial" w:eastAsia="Times New Roman" w:hAnsi="Arial" w:cs="Arial"/>
          <w:color w:val="000000"/>
          <w:spacing w:val="4"/>
          <w:szCs w:val="20"/>
        </w:rPr>
        <w:t>.</w:t>
      </w:r>
    </w:p>
    <w:p w:rsidR="00285551" w:rsidRPr="006F6D3B" w:rsidRDefault="00285551" w:rsidP="00285551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6F6D3B">
        <w:rPr>
          <w:rFonts w:ascii="Arial" w:eastAsia="Times New Roman" w:hAnsi="Arial" w:cs="Arial"/>
          <w:color w:val="000000"/>
          <w:szCs w:val="20"/>
        </w:rPr>
        <w:br w:type="textWrapping" w:clear="all"/>
      </w:r>
    </w:p>
    <w:p w:rsidR="00285551" w:rsidRPr="006F6D3B" w:rsidRDefault="00285551" w:rsidP="00285551">
      <w:pPr>
        <w:spacing w:after="0" w:line="180" w:lineRule="atLeast"/>
        <w:ind w:left="20" w:firstLine="700"/>
        <w:jc w:val="both"/>
        <w:rPr>
          <w:rFonts w:ascii="Arial" w:eastAsia="Times New Roman" w:hAnsi="Arial" w:cs="Arial"/>
          <w:color w:val="000000"/>
          <w:szCs w:val="20"/>
        </w:rPr>
      </w:pPr>
      <w:r w:rsidRPr="006F6D3B">
        <w:rPr>
          <w:rFonts w:ascii="Arial" w:eastAsia="Times New Roman" w:hAnsi="Arial" w:cs="Arial"/>
          <w:color w:val="000000"/>
          <w:spacing w:val="4"/>
          <w:szCs w:val="20"/>
        </w:rPr>
        <w:t>Sincerely,</w:t>
      </w:r>
    </w:p>
    <w:p w:rsidR="00285551" w:rsidRPr="006F6D3B" w:rsidRDefault="00285551" w:rsidP="00285551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6F6D3B">
        <w:rPr>
          <w:rFonts w:ascii="Arial" w:eastAsia="Times New Roman" w:hAnsi="Arial" w:cs="Arial"/>
          <w:color w:val="000000"/>
          <w:szCs w:val="20"/>
        </w:rPr>
        <w:br w:type="textWrapping" w:clear="all"/>
      </w:r>
    </w:p>
    <w:p w:rsidR="006F6D3B" w:rsidRPr="006F6D3B" w:rsidRDefault="006F6D3B" w:rsidP="006F6D3B">
      <w:pPr>
        <w:pStyle w:val="Bodytext0"/>
        <w:spacing w:after="0" w:line="170" w:lineRule="exact"/>
        <w:ind w:left="709" w:firstLine="680"/>
        <w:rPr>
          <w:rFonts w:ascii="Arial" w:hAnsi="Arial" w:cs="Arial"/>
          <w:sz w:val="20"/>
          <w:szCs w:val="20"/>
        </w:rPr>
      </w:pPr>
    </w:p>
    <w:p w:rsidR="006F6D3B" w:rsidRPr="006F6D3B" w:rsidRDefault="006F6D3B" w:rsidP="006F6D3B">
      <w:pPr>
        <w:spacing w:line="293" w:lineRule="atLeast"/>
        <w:ind w:left="4880"/>
        <w:rPr>
          <w:rFonts w:ascii="Arial" w:eastAsia="Times New Roman" w:hAnsi="Arial" w:cs="Arial"/>
          <w:szCs w:val="20"/>
        </w:rPr>
      </w:pPr>
      <w:r w:rsidRPr="006F6D3B">
        <w:rPr>
          <w:rFonts w:ascii="Arial" w:eastAsia="Times New Roman" w:hAnsi="Arial" w:cs="Arial"/>
          <w:spacing w:val="5"/>
          <w:szCs w:val="20"/>
        </w:rPr>
        <w:t>President of the Commission</w:t>
      </w:r>
    </w:p>
    <w:p w:rsidR="006F6D3B" w:rsidRPr="006F6D3B" w:rsidRDefault="006F6D3B" w:rsidP="006F6D3B">
      <w:pPr>
        <w:spacing w:line="293" w:lineRule="atLeast"/>
        <w:ind w:left="5140"/>
        <w:rPr>
          <w:rFonts w:ascii="Arial" w:eastAsia="Times New Roman" w:hAnsi="Arial" w:cs="Arial"/>
          <w:szCs w:val="20"/>
          <w:u w:val="single"/>
        </w:rPr>
      </w:pPr>
      <w:r w:rsidRPr="006F6D3B">
        <w:rPr>
          <w:rFonts w:ascii="Arial" w:eastAsia="Times New Roman" w:hAnsi="Arial" w:cs="Arial"/>
          <w:szCs w:val="20"/>
          <w:u w:val="single"/>
        </w:rPr>
        <w:t>____________________</w:t>
      </w:r>
    </w:p>
    <w:p w:rsidR="006F6D3B" w:rsidRPr="006F6D3B" w:rsidRDefault="006F6D3B" w:rsidP="006F6D3B">
      <w:pPr>
        <w:spacing w:line="293" w:lineRule="atLeast"/>
        <w:rPr>
          <w:rFonts w:ascii="Arial" w:eastAsia="Times New Roman" w:hAnsi="Arial" w:cs="Arial"/>
          <w:szCs w:val="20"/>
          <w:u w:val="single"/>
        </w:rPr>
      </w:pPr>
    </w:p>
    <w:p w:rsidR="006F6D3B" w:rsidRPr="006F6D3B" w:rsidRDefault="006F6D3B" w:rsidP="006F6D3B">
      <w:pPr>
        <w:spacing w:line="293" w:lineRule="atLeast"/>
        <w:ind w:left="5140"/>
        <w:rPr>
          <w:rFonts w:ascii="Arial" w:eastAsia="Times New Roman" w:hAnsi="Arial" w:cs="Arial"/>
          <w:szCs w:val="20"/>
        </w:rPr>
      </w:pPr>
      <w:proofErr w:type="spellStart"/>
      <w:r w:rsidRPr="006F6D3B">
        <w:rPr>
          <w:rFonts w:ascii="Arial" w:eastAsia="Times New Roman" w:hAnsi="Arial" w:cs="Arial"/>
          <w:spacing w:val="5"/>
          <w:szCs w:val="20"/>
        </w:rPr>
        <w:t>Stanja</w:t>
      </w:r>
      <w:proofErr w:type="spellEnd"/>
      <w:r w:rsidRPr="006F6D3B">
        <w:rPr>
          <w:rFonts w:ascii="Arial" w:eastAsia="Times New Roman" w:hAnsi="Arial" w:cs="Arial"/>
          <w:spacing w:val="5"/>
          <w:szCs w:val="20"/>
        </w:rPr>
        <w:t xml:space="preserve"> </w:t>
      </w:r>
      <w:proofErr w:type="spellStart"/>
      <w:r w:rsidRPr="006F6D3B">
        <w:rPr>
          <w:rFonts w:ascii="Arial" w:eastAsia="Times New Roman" w:hAnsi="Arial" w:cs="Arial"/>
          <w:spacing w:val="5"/>
          <w:szCs w:val="20"/>
        </w:rPr>
        <w:t>Kakuča</w:t>
      </w:r>
      <w:proofErr w:type="spellEnd"/>
    </w:p>
    <w:p w:rsidR="006F6D3B" w:rsidRPr="006F6D3B" w:rsidRDefault="006F6D3B" w:rsidP="006F6D3B">
      <w:pPr>
        <w:rPr>
          <w:rFonts w:ascii="Arial" w:eastAsia="Times New Roman" w:hAnsi="Arial" w:cs="Arial"/>
          <w:szCs w:val="20"/>
        </w:rPr>
      </w:pPr>
      <w:r w:rsidRPr="006F6D3B">
        <w:rPr>
          <w:rFonts w:ascii="Arial" w:eastAsia="Times New Roman" w:hAnsi="Arial" w:cs="Arial"/>
          <w:szCs w:val="20"/>
        </w:rPr>
        <w:br w:type="textWrapping" w:clear="all"/>
      </w:r>
    </w:p>
    <w:p w:rsidR="006F6D3B" w:rsidRPr="006F6D3B" w:rsidRDefault="006F6D3B" w:rsidP="006F6D3B">
      <w:pPr>
        <w:pStyle w:val="NoSpacing"/>
        <w:jc w:val="center"/>
        <w:rPr>
          <w:rFonts w:ascii="Arial" w:hAnsi="Arial" w:cs="Arial"/>
        </w:rPr>
      </w:pPr>
      <w:r w:rsidRPr="006F6D3B">
        <w:rPr>
          <w:rFonts w:ascii="Arial" w:hAnsi="Arial" w:cs="Arial"/>
        </w:rPr>
        <w:t xml:space="preserve">Limited Liability Company PIU Research and Development, Belgrade, </w:t>
      </w:r>
      <w:proofErr w:type="spellStart"/>
      <w:r w:rsidRPr="006F6D3B">
        <w:rPr>
          <w:rFonts w:ascii="Arial" w:hAnsi="Arial" w:cs="Arial"/>
        </w:rPr>
        <w:t>Nemanjina</w:t>
      </w:r>
      <w:proofErr w:type="spellEnd"/>
      <w:r w:rsidRPr="006F6D3B">
        <w:rPr>
          <w:rFonts w:ascii="Arial" w:hAnsi="Arial" w:cs="Arial"/>
        </w:rPr>
        <w:t xml:space="preserve"> 22-26 Address: </w:t>
      </w:r>
      <w:proofErr w:type="spellStart"/>
      <w:r w:rsidRPr="006F6D3B">
        <w:rPr>
          <w:rFonts w:ascii="Arial" w:hAnsi="Arial" w:cs="Arial"/>
        </w:rPr>
        <w:t>Nemanjina</w:t>
      </w:r>
      <w:proofErr w:type="spellEnd"/>
      <w:r w:rsidRPr="006F6D3B">
        <w:rPr>
          <w:rFonts w:ascii="Arial" w:hAnsi="Arial" w:cs="Arial"/>
        </w:rPr>
        <w:t xml:space="preserve"> 22-26, Belgrade </w:t>
      </w:r>
      <w:r w:rsidR="00821DC4">
        <w:rPr>
          <w:rFonts w:ascii="Arial" w:hAnsi="Arial" w:cs="Arial"/>
        </w:rPr>
        <w:t>–</w:t>
      </w:r>
      <w:r w:rsidRPr="006F6D3B">
        <w:rPr>
          <w:rFonts w:ascii="Arial" w:hAnsi="Arial" w:cs="Arial"/>
        </w:rPr>
        <w:t xml:space="preserve"> </w:t>
      </w:r>
      <w:proofErr w:type="spellStart"/>
      <w:r w:rsidR="00821DC4">
        <w:rPr>
          <w:rFonts w:ascii="Arial" w:hAnsi="Arial" w:cs="Arial"/>
        </w:rPr>
        <w:t>Savski</w:t>
      </w:r>
      <w:proofErr w:type="spellEnd"/>
      <w:r w:rsidR="00821DC4">
        <w:rPr>
          <w:rFonts w:ascii="Arial" w:hAnsi="Arial" w:cs="Arial"/>
        </w:rPr>
        <w:t xml:space="preserve"> </w:t>
      </w:r>
      <w:proofErr w:type="spellStart"/>
      <w:r w:rsidR="00821DC4">
        <w:rPr>
          <w:rFonts w:ascii="Arial" w:hAnsi="Arial" w:cs="Arial"/>
        </w:rPr>
        <w:t>venac</w:t>
      </w:r>
      <w:proofErr w:type="spellEnd"/>
      <w:r w:rsidRPr="006F6D3B">
        <w:rPr>
          <w:rFonts w:ascii="Arial" w:hAnsi="Arial" w:cs="Arial"/>
        </w:rPr>
        <w:t xml:space="preserve">, Serbia Tel.: (011) 795 3088, </w:t>
      </w:r>
      <w:proofErr w:type="gramStart"/>
      <w:r w:rsidRPr="006F6D3B">
        <w:rPr>
          <w:rFonts w:ascii="Arial" w:hAnsi="Arial" w:cs="Arial"/>
        </w:rPr>
        <w:t>Fax.:</w:t>
      </w:r>
      <w:proofErr w:type="gramEnd"/>
      <w:r w:rsidRPr="006F6D3B">
        <w:rPr>
          <w:rFonts w:ascii="Arial" w:hAnsi="Arial" w:cs="Arial"/>
        </w:rPr>
        <w:t xml:space="preserve"> (011) 3088 653</w:t>
      </w:r>
    </w:p>
    <w:p w:rsidR="006F6D3B" w:rsidRPr="006F6D3B" w:rsidRDefault="006F6D3B" w:rsidP="006F6D3B">
      <w:pPr>
        <w:pStyle w:val="NoSpacing"/>
        <w:jc w:val="center"/>
        <w:rPr>
          <w:rFonts w:ascii="Arial" w:hAnsi="Arial" w:cs="Arial"/>
        </w:rPr>
      </w:pPr>
      <w:r w:rsidRPr="006F6D3B">
        <w:rPr>
          <w:rFonts w:ascii="Arial" w:hAnsi="Arial" w:cs="Arial"/>
        </w:rPr>
        <w:t>E-mail: </w:t>
      </w:r>
      <w:hyperlink r:id="rId4" w:history="1">
        <w:r w:rsidR="00821DC4">
          <w:rPr>
            <w:rFonts w:ascii="Arial" w:hAnsi="Arial" w:cs="Arial"/>
            <w:color w:val="0000FF"/>
            <w:u w:val="single"/>
          </w:rPr>
          <w:t>office@</w:t>
        </w:r>
        <w:r w:rsidRPr="006F6D3B">
          <w:rPr>
            <w:rFonts w:ascii="Arial" w:hAnsi="Arial" w:cs="Arial"/>
            <w:color w:val="0000FF"/>
            <w:u w:val="single"/>
          </w:rPr>
          <w:t>piu.rs</w:t>
        </w:r>
      </w:hyperlink>
      <w:r w:rsidR="00821DC4">
        <w:rPr>
          <w:rFonts w:ascii="Arial" w:hAnsi="Arial" w:cs="Arial"/>
        </w:rPr>
        <w:t> w</w:t>
      </w:r>
      <w:r w:rsidRPr="006F6D3B">
        <w:rPr>
          <w:rFonts w:ascii="Arial" w:hAnsi="Arial" w:cs="Arial"/>
        </w:rPr>
        <w:t xml:space="preserve">ebsite: </w:t>
      </w:r>
      <w:hyperlink r:id="rId5" w:history="1">
        <w:r w:rsidRPr="006F6D3B">
          <w:rPr>
            <w:rFonts w:ascii="Arial" w:hAnsi="Arial" w:cs="Arial"/>
            <w:color w:val="0000FF"/>
            <w:u w:val="single"/>
          </w:rPr>
          <w:t>www.piu.rs</w:t>
        </w:r>
      </w:hyperlink>
      <w:r w:rsidRPr="006F6D3B">
        <w:rPr>
          <w:rFonts w:ascii="Arial" w:hAnsi="Arial" w:cs="Arial"/>
        </w:rPr>
        <w:t>,</w:t>
      </w:r>
    </w:p>
    <w:p w:rsidR="006F6D3B" w:rsidRPr="006F6D3B" w:rsidRDefault="006F6D3B" w:rsidP="006F6D3B">
      <w:pPr>
        <w:pStyle w:val="NoSpacing"/>
        <w:jc w:val="center"/>
        <w:rPr>
          <w:rFonts w:ascii="Arial" w:hAnsi="Arial" w:cs="Arial"/>
        </w:rPr>
      </w:pPr>
      <w:r w:rsidRPr="006F6D3B">
        <w:rPr>
          <w:rFonts w:ascii="Arial" w:hAnsi="Arial" w:cs="Arial"/>
        </w:rPr>
        <w:lastRenderedPageBreak/>
        <w:t>Registration Number: BD 87134/2010, Business Register, the Business Registers Agency of the Republic of Serbia; Registration Number: 20668890;</w:t>
      </w:r>
    </w:p>
    <w:p w:rsidR="00B0473C" w:rsidRPr="006F6D3B" w:rsidRDefault="00B0473C" w:rsidP="006F6D3B">
      <w:pPr>
        <w:spacing w:after="0" w:line="590" w:lineRule="atLeast"/>
        <w:ind w:left="4860" w:right="2120"/>
        <w:jc w:val="right"/>
        <w:rPr>
          <w:rFonts w:ascii="Arial" w:hAnsi="Arial" w:cs="Arial"/>
          <w:szCs w:val="20"/>
        </w:rPr>
      </w:pPr>
    </w:p>
    <w:sectPr w:rsidR="00B0473C" w:rsidRPr="006F6D3B" w:rsidSect="00B047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85551"/>
    <w:rsid w:val="002234DA"/>
    <w:rsid w:val="00234DB8"/>
    <w:rsid w:val="00285551"/>
    <w:rsid w:val="002D10E8"/>
    <w:rsid w:val="004A51D9"/>
    <w:rsid w:val="005227DB"/>
    <w:rsid w:val="00581D09"/>
    <w:rsid w:val="006F6D3B"/>
    <w:rsid w:val="00821DC4"/>
    <w:rsid w:val="008D7F56"/>
    <w:rsid w:val="008E0E60"/>
    <w:rsid w:val="00B0473C"/>
    <w:rsid w:val="00B13F31"/>
    <w:rsid w:val="00E626EC"/>
    <w:rsid w:val="00F030AF"/>
    <w:rsid w:val="00F3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Cs w:val="4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translate">
    <w:name w:val="notranslate"/>
    <w:basedOn w:val="DefaultParagraphFont"/>
    <w:rsid w:val="00285551"/>
  </w:style>
  <w:style w:type="character" w:customStyle="1" w:styleId="apple-converted-space">
    <w:name w:val="apple-converted-space"/>
    <w:basedOn w:val="DefaultParagraphFont"/>
    <w:rsid w:val="00285551"/>
  </w:style>
  <w:style w:type="character" w:customStyle="1" w:styleId="Bodytext">
    <w:name w:val="Body text_"/>
    <w:basedOn w:val="DefaultParagraphFont"/>
    <w:link w:val="Bodytext0"/>
    <w:rsid w:val="008E0E60"/>
    <w:rPr>
      <w:rFonts w:ascii="Times New Roman" w:eastAsia="Times New Roman" w:hAnsi="Times New Roman"/>
      <w:spacing w:val="5"/>
      <w:sz w:val="17"/>
      <w:szCs w:val="17"/>
    </w:rPr>
  </w:style>
  <w:style w:type="paragraph" w:customStyle="1" w:styleId="Bodytext0">
    <w:name w:val="Body text"/>
    <w:basedOn w:val="Normal"/>
    <w:link w:val="Bodytext"/>
    <w:rsid w:val="008E0E60"/>
    <w:pPr>
      <w:widowControl w:val="0"/>
      <w:spacing w:after="240" w:line="0" w:lineRule="atLeast"/>
      <w:jc w:val="both"/>
    </w:pPr>
    <w:rPr>
      <w:rFonts w:ascii="Times New Roman" w:eastAsia="Times New Roman" w:hAnsi="Times New Roman"/>
      <w:spacing w:val="5"/>
      <w:sz w:val="17"/>
      <w:szCs w:val="17"/>
    </w:rPr>
  </w:style>
  <w:style w:type="paragraph" w:styleId="NoSpacing">
    <w:name w:val="No Spacing"/>
    <w:uiPriority w:val="1"/>
    <w:qFormat/>
    <w:rsid w:val="006F6D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1D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nslate.google.com/translate?hl=sr&amp;prev=_t&amp;sl=sr&amp;tl=en&amp;u=http://www.piu.rs" TargetMode="External"/><Relationship Id="rId4" Type="http://schemas.openxmlformats.org/officeDocument/2006/relationships/hyperlink" Target="mailto:office@pi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Komnenic</dc:creator>
  <cp:lastModifiedBy>Ana Komnenic</cp:lastModifiedBy>
  <cp:revision>4</cp:revision>
  <dcterms:created xsi:type="dcterms:W3CDTF">2013-12-26T19:43:00Z</dcterms:created>
  <dcterms:modified xsi:type="dcterms:W3CDTF">2013-12-26T21:33:00Z</dcterms:modified>
</cp:coreProperties>
</file>