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E" w:rsidRPr="00DC30E2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DC30E2" w:rsidRDefault="002E5046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</w:t>
      </w:r>
      <w:r w:rsidRPr="00DC30E2">
        <w:rPr>
          <w:rFonts w:ascii="Times New Roman" w:hAnsi="Times New Roman"/>
          <w:b/>
          <w:sz w:val="24"/>
          <w:szCs w:val="24"/>
        </w:rPr>
        <w:t xml:space="preserve">, </w:t>
      </w:r>
      <w:r w:rsidR="002827E0" w:rsidRPr="00DC30E2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="0096495A" w:rsidRPr="00DC30E2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b/>
          <w:sz w:val="24"/>
          <w:szCs w:val="24"/>
        </w:rPr>
        <w:t xml:space="preserve"> и технолошког развоја</w:t>
      </w:r>
    </w:p>
    <w:p w:rsidR="003034ED" w:rsidRPr="00DC30E2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DC30E2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Pr="00DC30E2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2826A5" w:rsidRPr="00DC30E2" w:rsidRDefault="00A16FB3" w:rsidP="008514D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1014A" w:rsidRPr="00DC30E2" w:rsidRDefault="002827E0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  <w:r w:rsidRPr="00DC30E2">
        <w:rPr>
          <w:b/>
          <w:i/>
          <w:lang w:val="sr-Cyrl-CS"/>
        </w:rPr>
        <w:t>објављују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</w:p>
    <w:p w:rsidR="00B1014A" w:rsidRPr="00DC30E2" w:rsidRDefault="0001459C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b/>
          <w:i/>
          <w:lang w:val="sr-Cyrl-CS"/>
        </w:rPr>
        <w:t xml:space="preserve"> </w:t>
      </w:r>
      <w:r w:rsidR="00B1014A" w:rsidRPr="00DC30E2">
        <w:rPr>
          <w:rStyle w:val="Strong"/>
        </w:rPr>
        <w:t>ПОЗИВ</w:t>
      </w:r>
    </w:p>
    <w:p w:rsidR="00B1014A" w:rsidRPr="00DC30E2" w:rsidRDefault="00B1014A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rStyle w:val="Strong"/>
        </w:rPr>
        <w:t xml:space="preserve">ЗА ПОДНОШЕЊЕ ПОНУДА У </w:t>
      </w:r>
      <w:r w:rsidRPr="00DC30E2">
        <w:rPr>
          <w:rStyle w:val="Strong"/>
          <w:lang w:val="sr-Cyrl-CS"/>
        </w:rPr>
        <w:t xml:space="preserve">МЕЂУНАРОДНОМ </w:t>
      </w:r>
      <w:r w:rsidRPr="00DC30E2">
        <w:rPr>
          <w:rStyle w:val="Strong"/>
        </w:rPr>
        <w:t>ОТВОРЕНОМ ПОСТУПКУ</w:t>
      </w:r>
    </w:p>
    <w:p w:rsidR="00B1014A" w:rsidRPr="00DC30E2" w:rsidRDefault="00B1014A" w:rsidP="00313A0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C30E2">
        <w:rPr>
          <w:rStyle w:val="Strong"/>
        </w:rPr>
        <w:t xml:space="preserve"> ЗА ЈАВНУ НАБАВКУ</w:t>
      </w:r>
      <w:r w:rsidR="00703DBD" w:rsidRPr="00DC30E2">
        <w:rPr>
          <w:rStyle w:val="Strong"/>
        </w:rPr>
        <w:t xml:space="preserve"> </w:t>
      </w:r>
      <w:r w:rsidR="00A62450">
        <w:rPr>
          <w:rStyle w:val="Strong"/>
          <w:lang w:val="sr-Cyrl-CS"/>
        </w:rPr>
        <w:t>ПЕРСОНАЛНИХ РАЧУНАРА</w:t>
      </w:r>
      <w:r w:rsidRPr="00DC30E2">
        <w:rPr>
          <w:rStyle w:val="Strong"/>
          <w:lang w:val="en-US"/>
        </w:rPr>
        <w:t xml:space="preserve"> </w:t>
      </w:r>
      <w:r w:rsidRPr="00DC30E2">
        <w:rPr>
          <w:rStyle w:val="Strong"/>
          <w:lang w:val="sr-Cyrl-CS"/>
        </w:rPr>
        <w:t>ЗА ПОТРЕБЕ НАУЧНОИСТРАЖИВАЧКИХ ОРГАНИЗАЦИЈА</w:t>
      </w:r>
    </w:p>
    <w:p w:rsidR="00601498" w:rsidRPr="00A62450" w:rsidRDefault="002E5046" w:rsidP="008514DA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  <w:lang w:val="sr-Cyrl-CS"/>
        </w:rPr>
      </w:pPr>
      <w:r w:rsidRPr="00DC30E2">
        <w:rPr>
          <w:rStyle w:val="Strong"/>
          <w:rFonts w:ascii="Times New Roman" w:hAnsi="Times New Roman"/>
          <w:sz w:val="24"/>
          <w:szCs w:val="24"/>
          <w:lang w:val="sr-Cyrl-CS"/>
        </w:rPr>
        <w:t xml:space="preserve">БРОЈ: 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IOP/</w:t>
      </w:r>
      <w:r w:rsidR="00A62450">
        <w:rPr>
          <w:rStyle w:val="Strong"/>
          <w:rFonts w:ascii="Times New Roman" w:hAnsi="Times New Roman"/>
          <w:sz w:val="24"/>
          <w:szCs w:val="24"/>
          <w:lang w:val="sr-Cyrl-CS"/>
        </w:rPr>
        <w:t>5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-201</w:t>
      </w:r>
      <w:r w:rsidR="009B718E" w:rsidRPr="00DC30E2">
        <w:rPr>
          <w:rStyle w:val="Strong"/>
          <w:rFonts w:ascii="Times New Roman" w:hAnsi="Times New Roman"/>
          <w:sz w:val="24"/>
          <w:szCs w:val="24"/>
        </w:rPr>
        <w:t>3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C</w:t>
      </w:r>
    </w:p>
    <w:p w:rsidR="0059296B" w:rsidRPr="00DC30E2" w:rsidRDefault="00B1014A" w:rsidP="00601498">
      <w:pPr>
        <w:pStyle w:val="NormalWeb"/>
        <w:spacing w:before="0" w:beforeAutospacing="0" w:after="0" w:afterAutospacing="0"/>
        <w:jc w:val="center"/>
      </w:pPr>
      <w:r w:rsidRPr="00DC30E2">
        <w:t>као наставак реализације</w:t>
      </w:r>
      <w:r w:rsidR="00532FE9" w:rsidRPr="00DC30E2">
        <w:t xml:space="preserve"> </w:t>
      </w:r>
      <w:r w:rsidR="00267D0D">
        <w:t>по</w:t>
      </w:r>
      <w:r w:rsidR="00267D0D">
        <w:rPr>
          <w:lang w:val="sr-Cyrl-CS"/>
        </w:rPr>
        <w:t>т</w:t>
      </w:r>
      <w:r w:rsidR="00532FE9" w:rsidRPr="00DC30E2">
        <w:t>пројекта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jc w:val="center"/>
      </w:pPr>
    </w:p>
    <w:p w:rsidR="002827E0" w:rsidRPr="00DC30E2" w:rsidRDefault="00532FE9" w:rsidP="002827E0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DC30E2">
        <w:rPr>
          <w:rStyle w:val="Strong"/>
          <w:lang w:val="sr-Cyrl-CS"/>
        </w:rPr>
        <w:t>ЦЕНТРАЛИЗОВАНИ СИСТЕМ</w:t>
      </w:r>
      <w:r w:rsidR="00447094" w:rsidRPr="00DC30E2">
        <w:rPr>
          <w:rStyle w:val="Strong"/>
          <w:lang w:val="sr-Cyrl-CS"/>
        </w:rPr>
        <w:t xml:space="preserve"> </w:t>
      </w:r>
      <w:r w:rsidR="004474CC" w:rsidRPr="00DC30E2">
        <w:rPr>
          <w:b/>
          <w:lang w:val="sr-Cyrl-CS"/>
        </w:rPr>
        <w:t xml:space="preserve">ЗА ЕВИДЕНТИРАЊЕ И НАБАВКУ ПОТРОШНОГ </w:t>
      </w:r>
      <w:r w:rsidR="00977461" w:rsidRPr="00DC30E2">
        <w:rPr>
          <w:b/>
          <w:lang w:val="sr-Cyrl-CS"/>
        </w:rPr>
        <w:t xml:space="preserve">МАТЕРИЈАЛА ЗА </w:t>
      </w:r>
      <w:r w:rsidR="00DF245D" w:rsidRPr="00DC30E2">
        <w:rPr>
          <w:b/>
          <w:lang w:val="sr-Cyrl-CS"/>
        </w:rPr>
        <w:t>ОБАВЉАЊЕ НАУЧНОИСТРАЖИВАЧКЕ</w:t>
      </w:r>
      <w:r w:rsidR="00977461" w:rsidRPr="00DC30E2">
        <w:rPr>
          <w:b/>
          <w:lang w:val="sr-Cyrl-CS"/>
        </w:rPr>
        <w:t xml:space="preserve"> ДЕЛАТНОСТ</w:t>
      </w:r>
      <w:r w:rsidR="00DF245D" w:rsidRPr="00DC30E2">
        <w:rPr>
          <w:b/>
          <w:lang w:val="sr-Cyrl-CS"/>
        </w:rPr>
        <w:t>И</w:t>
      </w: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lang w:val="sr-Cyrl-CS"/>
        </w:rPr>
      </w:pP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r w:rsidRPr="00DC30E2">
        <w:rPr>
          <w:b/>
          <w:i/>
          <w:lang w:val="en-US"/>
        </w:rPr>
        <w:t>у оквиру пројекта</w:t>
      </w:r>
    </w:p>
    <w:p w:rsidR="00CF74F4" w:rsidRPr="00DC30E2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</w:p>
    <w:p w:rsidR="004474CC" w:rsidRPr="00DC30E2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DC30E2">
        <w:rPr>
          <w:b/>
          <w:bCs/>
          <w:lang w:val="sr-Cyrl-CS"/>
        </w:rPr>
        <w:t>ИСТРАЖИВАЊЕ И РАЗВОЈ У ЈАВНОМ СЕКТОРУ У СРБИЈИ</w:t>
      </w:r>
    </w:p>
    <w:p w:rsidR="00B81835" w:rsidRPr="00DC30E2" w:rsidRDefault="00B81835" w:rsidP="008514DA">
      <w:pPr>
        <w:pStyle w:val="NormalWeb"/>
        <w:spacing w:before="0" w:beforeAutospacing="0" w:after="0" w:afterAutospacing="0"/>
        <w:rPr>
          <w:b/>
          <w:bCs/>
          <w:lang w:val="sr-Cyrl-CS"/>
        </w:rPr>
      </w:pPr>
    </w:p>
    <w:p w:rsidR="00D81466" w:rsidRPr="00DC30E2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Финансијски уговор (Истраживање и развој у јавном сектору) између Републике Србије и Европске инвестиционе банке, закључен је 4. марта 2010. </w:t>
      </w:r>
      <w:r w:rsidR="006E5EB0" w:rsidRPr="00DC30E2">
        <w:rPr>
          <w:rFonts w:ascii="Times New Roman" w:hAnsi="Times New Roman"/>
          <w:sz w:val="24"/>
          <w:szCs w:val="24"/>
        </w:rPr>
        <w:t>г</w:t>
      </w:r>
      <w:r w:rsidRPr="00DC30E2">
        <w:rPr>
          <w:rFonts w:ascii="Times New Roman" w:hAnsi="Times New Roman"/>
          <w:sz w:val="24"/>
          <w:szCs w:val="24"/>
          <w:lang w:val="sr-Cyrl-CS"/>
        </w:rPr>
        <w:t>одине</w:t>
      </w:r>
      <w:r w:rsidR="006E5EB0" w:rsidRPr="00DC30E2">
        <w:rPr>
          <w:rFonts w:ascii="Times New Roman" w:hAnsi="Times New Roman"/>
          <w:sz w:val="24"/>
          <w:szCs w:val="24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</w:t>
      </w:r>
      <w:r w:rsidR="00D474BF" w:rsidRPr="00DC30E2">
        <w:rPr>
          <w:rFonts w:ascii="Times New Roman" w:hAnsi="Times New Roman"/>
          <w:sz w:val="24"/>
          <w:szCs w:val="24"/>
          <w:lang w:val="sr-Cyrl-CS"/>
        </w:rPr>
        <w:t xml:space="preserve"> гласник РС-Међународни уговори”</w:t>
      </w:r>
      <w:r w:rsidRPr="00DC30E2">
        <w:rPr>
          <w:rFonts w:ascii="Times New Roman" w:hAnsi="Times New Roman"/>
          <w:sz w:val="24"/>
          <w:szCs w:val="24"/>
          <w:lang w:val="sr-Cyrl-CS"/>
        </w:rPr>
        <w:t>, број 5/10)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допуњен 07. септембра 2011. године (у даљем тексту: Финансијски уговор).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C30E2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C30E2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 w:rsidRPr="00DC30E2">
        <w:rPr>
          <w:rFonts w:ascii="Times New Roman" w:hAnsi="Times New Roman"/>
          <w:sz w:val="24"/>
          <w:szCs w:val="24"/>
        </w:rPr>
        <w:t xml:space="preserve"> у Србији</w:t>
      </w:r>
      <w:r w:rsidRPr="00DC30E2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их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цент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а</w:t>
      </w:r>
      <w:r w:rsidRPr="00DC30E2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некомерцијалних станова за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ике</w:t>
      </w:r>
      <w:r w:rsidRPr="00DC30E2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ИТ инфраструктуре научне заједнице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 w:rsidRPr="00DC30E2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C30E2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Pr="00DC30E2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ЈУП Истраживање и развој д.о.о,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0A1B79" w:rsidRPr="00DC30E2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2450">
        <w:rPr>
          <w:rFonts w:ascii="Times New Roman" w:hAnsi="Times New Roman"/>
          <w:sz w:val="24"/>
          <w:szCs w:val="24"/>
          <w:lang w:val="sr-Cyrl-CS"/>
        </w:rPr>
        <w:t>персоналних рачунара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 организација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 xml:space="preserve"> у периоду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 од 2011. до 201</w:t>
      </w:r>
      <w:r w:rsidR="00EC1378" w:rsidRPr="00DC30E2">
        <w:rPr>
          <w:rFonts w:ascii="Times New Roman" w:hAnsi="Times New Roman"/>
          <w:sz w:val="24"/>
          <w:szCs w:val="24"/>
          <w:lang w:val="sr-Cyrl-CS"/>
        </w:rPr>
        <w:t>4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>. године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>.</w:t>
      </w:r>
    </w:p>
    <w:p w:rsidR="008C08A3" w:rsidRPr="00DC30E2" w:rsidRDefault="00454F42" w:rsidP="008C08A3">
      <w:pPr>
        <w:jc w:val="both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У складу са чланом 7. став 1. тачка 2.(</w:t>
      </w:r>
      <w:r w:rsidRPr="00DC30E2">
        <w:rPr>
          <w:rFonts w:ascii="Times New Roman" w:hAnsi="Times New Roman"/>
          <w:sz w:val="24"/>
          <w:szCs w:val="24"/>
        </w:rPr>
        <w:t>2</w:t>
      </w:r>
      <w:r w:rsidRPr="00DC30E2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Pr="00DC30E2">
        <w:rPr>
          <w:rFonts w:ascii="Times New Roman" w:hAnsi="Times New Roman"/>
          <w:sz w:val="24"/>
          <w:szCs w:val="24"/>
        </w:rPr>
        <w:t>,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DC30E2">
        <w:rPr>
          <w:rFonts w:ascii="Times New Roman" w:hAnsi="Times New Roman"/>
          <w:sz w:val="24"/>
          <w:szCs w:val="24"/>
        </w:rPr>
        <w:t>ој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DC30E2">
        <w:rPr>
          <w:rFonts w:ascii="Times New Roman" w:hAnsi="Times New Roman"/>
          <w:sz w:val="24"/>
          <w:szCs w:val="24"/>
        </w:rPr>
        <w:t>24/12</w:t>
      </w:r>
      <w:r w:rsidRPr="00DC30E2">
        <w:rPr>
          <w:rFonts w:ascii="Times New Roman" w:hAnsi="Times New Roman"/>
          <w:sz w:val="24"/>
          <w:szCs w:val="24"/>
          <w:lang w:val="sr-Cyrl-CS"/>
        </w:rPr>
        <w:t>)</w:t>
      </w:r>
      <w:r w:rsidRPr="00DC30E2">
        <w:rPr>
          <w:rFonts w:ascii="Times New Roman" w:hAnsi="Times New Roman"/>
          <w:sz w:val="24"/>
          <w:szCs w:val="24"/>
        </w:rPr>
        <w:t xml:space="preserve"> и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4F2143" w:rsidRPr="00DC30E2">
        <w:rPr>
          <w:rFonts w:ascii="Times New Roman" w:hAnsi="Times New Roman"/>
          <w:sz w:val="24"/>
          <w:szCs w:val="24"/>
          <w:lang w:val="sr-Cyrl-CS"/>
        </w:rPr>
        <w:t xml:space="preserve"> односно политиком Европске инвестиционе банке описаном у Водичу за набавке</w:t>
      </w:r>
      <w:r w:rsidR="004F2143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4F2143" w:rsidRPr="00DC30E2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 ЈУП Истраживање и развој д.о.о. је донело Одлуку о покретању међународног отвореног поступка јавне набавке за</w:t>
      </w:r>
      <w:r w:rsidR="008C08A3" w:rsidRPr="00DC30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н</w:t>
      </w:r>
      <w:r w:rsidR="008C08A3" w:rsidRPr="00DC30E2">
        <w:rPr>
          <w:rFonts w:ascii="Times New Roman" w:hAnsi="Times New Roman"/>
          <w:sz w:val="24"/>
          <w:szCs w:val="24"/>
        </w:rPr>
        <w:t xml:space="preserve">абавку </w:t>
      </w:r>
      <w:r w:rsidR="00A62450">
        <w:rPr>
          <w:rFonts w:ascii="Times New Roman" w:hAnsi="Times New Roman"/>
          <w:sz w:val="24"/>
          <w:szCs w:val="24"/>
          <w:lang w:val="sr-Cyrl-CS"/>
        </w:rPr>
        <w:t>персоналних рачунара</w:t>
      </w:r>
      <w:r w:rsidR="008C08A3" w:rsidRPr="00DC30E2">
        <w:rPr>
          <w:rFonts w:ascii="Times New Roman" w:hAnsi="Times New Roman"/>
          <w:sz w:val="24"/>
          <w:szCs w:val="24"/>
        </w:rPr>
        <w:t xml:space="preserve"> </w:t>
      </w:r>
      <w:r w:rsidR="004F2143" w:rsidRPr="00DC30E2">
        <w:rPr>
          <w:rFonts w:ascii="Times New Roman" w:hAnsi="Times New Roman"/>
          <w:sz w:val="24"/>
          <w:szCs w:val="24"/>
        </w:rPr>
        <w:t xml:space="preserve">за </w:t>
      </w:r>
      <w:r w:rsidR="004F2143" w:rsidRPr="00DC30E2">
        <w:rPr>
          <w:rFonts w:ascii="Times New Roman" w:hAnsi="Times New Roman"/>
          <w:sz w:val="24"/>
          <w:szCs w:val="24"/>
        </w:rPr>
        <w:lastRenderedPageBreak/>
        <w:t>потребе</w:t>
      </w:r>
      <w:r w:rsidR="008C08A3" w:rsidRPr="00DC30E2">
        <w:rPr>
          <w:rFonts w:ascii="Times New Roman" w:hAnsi="Times New Roman"/>
          <w:sz w:val="24"/>
          <w:szCs w:val="24"/>
        </w:rPr>
        <w:t xml:space="preserve"> научноистраживачких организација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IOP/</w:t>
      </w:r>
      <w:r w:rsidR="00A62450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5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-201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C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 xml:space="preserve">, који обухвата потребе научне заједнице Републике Србије за </w:t>
      </w:r>
      <w:r w:rsidR="00A62450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персоналним рачунарима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 xml:space="preserve"> за период октобар 2012 – </w:t>
      </w:r>
      <w:r w:rsidR="00706E95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октобар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 xml:space="preserve"> 2013</w:t>
      </w:r>
      <w:r w:rsidR="008C08A3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A624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62450" w:rsidRPr="00A62450">
        <w:rPr>
          <w:rFonts w:ascii="Times New Roman" w:hAnsi="Times New Roman"/>
          <w:sz w:val="24"/>
          <w:szCs w:val="24"/>
          <w:lang w:val="sr-Cyrl-CS"/>
        </w:rPr>
        <w:t>године</w:t>
      </w:r>
      <w:r w:rsidR="00A6245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62450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Нази</w:t>
      </w:r>
      <w:r w:rsidR="00A62450">
        <w:rPr>
          <w:rFonts w:ascii="Times New Roman" w:hAnsi="Times New Roman"/>
          <w:sz w:val="24"/>
          <w:szCs w:val="24"/>
          <w:lang w:val="sr-Cyrl-CS"/>
        </w:rPr>
        <w:t>в, идентификација и број лотова:</w:t>
      </w:r>
    </w:p>
    <w:p w:rsidR="00A62450" w:rsidRPr="00591C26" w:rsidRDefault="00A62450" w:rsidP="00A62450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>
        <w:rPr>
          <w:rFonts w:ascii="Times New Roman" w:eastAsia="Times New Roman" w:hAnsi="Times New Roman"/>
          <w:iCs/>
          <w:sz w:val="24"/>
          <w:szCs w:val="20"/>
          <w:lang w:val="sr-Cyrl-CS"/>
        </w:rPr>
        <w:t>Канцеларијски рачунари</w:t>
      </w:r>
    </w:p>
    <w:p w:rsidR="00A62450" w:rsidRPr="00591C26" w:rsidRDefault="00A62450" w:rsidP="00A62450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>
        <w:rPr>
          <w:rFonts w:ascii="Times New Roman" w:eastAsia="Times New Roman" w:hAnsi="Times New Roman"/>
          <w:iCs/>
          <w:sz w:val="24"/>
          <w:szCs w:val="20"/>
          <w:lang w:val="sr-Cyrl-CS"/>
        </w:rPr>
        <w:t>Преносиви рачунари</w:t>
      </w:r>
    </w:p>
    <w:p w:rsidR="00A62450" w:rsidRPr="00591C26" w:rsidRDefault="00A62450" w:rsidP="00A62450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>
        <w:rPr>
          <w:rFonts w:ascii="Times New Roman" w:eastAsia="Times New Roman" w:hAnsi="Times New Roman"/>
          <w:iCs/>
          <w:sz w:val="24"/>
          <w:szCs w:val="20"/>
          <w:lang w:val="sr-Cyrl-CS"/>
        </w:rPr>
        <w:t>Инжењерске конфигурације</w:t>
      </w:r>
    </w:p>
    <w:p w:rsidR="00A62450" w:rsidRPr="00591C26" w:rsidRDefault="00A62450" w:rsidP="00A62450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>
        <w:rPr>
          <w:rFonts w:ascii="Times New Roman" w:eastAsia="Times New Roman" w:hAnsi="Times New Roman"/>
          <w:iCs/>
          <w:sz w:val="24"/>
          <w:szCs w:val="20"/>
          <w:lang w:val="sr-Cyrl-CS"/>
        </w:rPr>
        <w:t>Лаки преносиви рачунари</w:t>
      </w:r>
    </w:p>
    <w:p w:rsidR="00CF74F4" w:rsidRPr="00DC30E2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 w:rsidRPr="00DC30E2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 w:rsidRPr="00DC30E2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</w:t>
      </w:r>
      <w:r w:rsidR="00A62450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B6626">
        <w:rPr>
          <w:rFonts w:ascii="Times New Roman" w:hAnsi="Times New Roman"/>
          <w:sz w:val="24"/>
          <w:szCs w:val="24"/>
          <w:lang w:val="sr-Cyrl-CS"/>
        </w:rPr>
        <w:t>марта</w:t>
      </w:r>
      <w:r w:rsidR="009B718E" w:rsidRPr="00EB6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2450">
        <w:rPr>
          <w:rFonts w:ascii="Times New Roman" w:hAnsi="Times New Roman"/>
          <w:sz w:val="24"/>
          <w:szCs w:val="24"/>
          <w:lang w:val="sr-Cyrl-CS"/>
        </w:rPr>
        <w:t xml:space="preserve">до јуна </w:t>
      </w:r>
      <w:r w:rsidR="009B718E" w:rsidRPr="00EB6626">
        <w:rPr>
          <w:rFonts w:ascii="Times New Roman" w:hAnsi="Times New Roman"/>
          <w:sz w:val="24"/>
          <w:szCs w:val="24"/>
          <w:lang w:val="sr-Cyrl-CS"/>
        </w:rPr>
        <w:t xml:space="preserve">2014. </w:t>
      </w:r>
      <w:r w:rsidR="00A138A2" w:rsidRPr="00EB6626">
        <w:rPr>
          <w:rFonts w:ascii="Times New Roman" w:hAnsi="Times New Roman"/>
          <w:sz w:val="24"/>
          <w:szCs w:val="24"/>
          <w:lang w:val="sr-Cyrl-CS"/>
        </w:rPr>
        <w:t>године</w:t>
      </w:r>
      <w:r w:rsidR="00A9047F" w:rsidRPr="00EB6626">
        <w:rPr>
          <w:rFonts w:ascii="Times New Roman" w:hAnsi="Times New Roman"/>
          <w:sz w:val="24"/>
          <w:szCs w:val="24"/>
          <w:lang w:val="sr-Cyrl-CS"/>
        </w:rPr>
        <w:t>.</w:t>
      </w:r>
    </w:p>
    <w:p w:rsidR="00387B9C" w:rsidRPr="00387B9C" w:rsidRDefault="00387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Алтернативне понуде се не разматрају.</w:t>
      </w:r>
    </w:p>
    <w:p w:rsidR="00387B9C" w:rsidRPr="00387B9C" w:rsidRDefault="00387B9C" w:rsidP="00387B9C">
      <w:pPr>
        <w:pStyle w:val="List1"/>
        <w:spacing w:before="0" w:after="12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87B9C">
        <w:rPr>
          <w:rFonts w:ascii="Times New Roman" w:hAnsi="Times New Roman" w:cs="Times New Roman"/>
          <w:sz w:val="24"/>
          <w:szCs w:val="24"/>
        </w:rPr>
        <w:t>Понуђачи могу да се надмећу за једну или више партија или за све партије.</w:t>
      </w:r>
    </w:p>
    <w:p w:rsidR="00387B9C" w:rsidRPr="00387B9C" w:rsidRDefault="00387B9C" w:rsidP="00387B9C">
      <w:pPr>
        <w:spacing w:after="120"/>
        <w:ind w:left="695" w:hanging="695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Прихватају се понуде за појединачне партије. </w:t>
      </w:r>
    </w:p>
    <w:p w:rsidR="00387B9C" w:rsidRPr="00387B9C" w:rsidRDefault="00387B9C" w:rsidP="00387B9C">
      <w:pPr>
        <w:spacing w:after="120"/>
        <w:ind w:left="-1633" w:firstLine="1633"/>
        <w:rPr>
          <w:rFonts w:ascii="Times New Roman" w:hAnsi="Times New Roman"/>
          <w:bCs/>
          <w:iCs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Понуде се вреднују по партијама. 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Попусти за доделу више партија се не разматрају приликом вредновања понуде.</w:t>
      </w:r>
    </w:p>
    <w:p w:rsidR="0028050F" w:rsidRPr="00387B9C" w:rsidRDefault="000E14EE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7B9C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Pr="00387B9C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387B9C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C90942" w:rsidRPr="003D2253" w:rsidRDefault="00C90942" w:rsidP="00C9094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>
        <w:rPr>
          <w:lang w:val="sr-Cyrl-CS"/>
        </w:rPr>
        <w:t>Вељка Дугошевића</w:t>
      </w:r>
      <w:r w:rsidRPr="004029A6">
        <w:rPr>
          <w:lang w:val="sr-Cyrl-CS"/>
        </w:rPr>
        <w:t xml:space="preserve"> бр.</w:t>
      </w:r>
      <w:r>
        <w:rPr>
          <w:lang w:val="sr-Cyrl-CS"/>
        </w:rPr>
        <w:t xml:space="preserve"> 5</w:t>
      </w:r>
      <w:r w:rsidRPr="004029A6">
        <w:rPr>
          <w:lang w:val="sr-Cyrl-CS"/>
        </w:rPr>
        <w:t>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Pr="004029A6">
        <w:t xml:space="preserve"> до 16 часова уз подношење овлашћења за преузимање конкурсне </w:t>
      </w:r>
      <w:r w:rsidRPr="003D2253">
        <w:t>документације и доказ о уплати 5</w:t>
      </w:r>
      <w:r w:rsidRPr="003D2253">
        <w:rPr>
          <w:lang w:val="sr-Cyrl-CS"/>
        </w:rPr>
        <w:t>0,00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</w:t>
      </w:r>
      <w:r w:rsidR="003816D9">
        <w:rPr>
          <w:lang w:val="sr-Cyrl-CS"/>
        </w:rPr>
        <w:t>.</w:t>
      </w:r>
      <w:r w:rsidRPr="003D2253">
        <w:rPr>
          <w:lang w:val="sr-Cyrl-CS"/>
        </w:rPr>
        <w:t>о</w:t>
      </w:r>
      <w:r w:rsidR="003816D9">
        <w:rPr>
          <w:lang w:val="sr-Cyrl-CS"/>
        </w:rPr>
        <w:t>.</w:t>
      </w:r>
      <w:r w:rsidRPr="003D2253">
        <w:rPr>
          <w:lang w:val="sr-Cyrl-CS"/>
        </w:rPr>
        <w:t>о</w:t>
      </w:r>
      <w:r w:rsidR="003816D9">
        <w:rPr>
          <w:lang w:val="sr-Cyrl-CS"/>
        </w:rPr>
        <w:t>.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 xml:space="preserve">, позив на број </w:t>
      </w:r>
      <w:r w:rsidRPr="003D2253">
        <w:rPr>
          <w:lang w:val="sr-Cyrl-CS"/>
        </w:rPr>
        <w:t>ИОП/</w:t>
      </w:r>
      <w:r>
        <w:rPr>
          <w:lang w:val="sr-Cyrl-CS"/>
        </w:rPr>
        <w:t>5</w:t>
      </w:r>
      <w:r w:rsidRPr="003D2253">
        <w:rPr>
          <w:lang w:val="sr-Cyrl-CS"/>
        </w:rPr>
        <w:t>-201</w:t>
      </w:r>
      <w:r>
        <w:rPr>
          <w:lang w:val="sr-Cyrl-CS"/>
        </w:rPr>
        <w:t>3</w:t>
      </w:r>
      <w:r w:rsidRPr="003D2253">
        <w:rPr>
          <w:lang w:val="sr-Cyrl-CS"/>
        </w:rPr>
        <w:t>/</w:t>
      </w:r>
      <w:r>
        <w:rPr>
          <w:lang w:val="sr-Cyrl-CS"/>
        </w:rPr>
        <w:t>Ц</w:t>
      </w:r>
      <w:r w:rsidRPr="003D2253"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Понуђачима који упуте захтев за достављање Конкурсне документације, иста ће бити </w:t>
      </w:r>
      <w:r w:rsidRPr="003D2253">
        <w:rPr>
          <w:lang w:val="sr-Cyrl-CS"/>
        </w:rPr>
        <w:t>послата поштом</w:t>
      </w:r>
      <w:r w:rsidRPr="003D2253">
        <w:t xml:space="preserve"> </w:t>
      </w:r>
      <w:r w:rsidRPr="003D2253">
        <w:rPr>
          <w:lang w:val="sr-Cyrl-CS"/>
        </w:rPr>
        <w:t xml:space="preserve">о трошку понуђача без преузимања одговорности за губитак или кашњење. </w:t>
      </w:r>
    </w:p>
    <w:p w:rsidR="00C90942" w:rsidRPr="003D2253" w:rsidRDefault="00C90942" w:rsidP="00C90942">
      <w:pPr>
        <w:pStyle w:val="NormalWeb"/>
        <w:spacing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C90942" w:rsidRPr="003D2253" w:rsidRDefault="00C90942" w:rsidP="00C90942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C90942" w:rsidRPr="004029A6" w:rsidRDefault="00C90942" w:rsidP="00C9094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126FA3" w:rsidRPr="00DC30E2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</w:p>
    <w:p w:rsidR="00BF17DC" w:rsidRDefault="00126FA3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DC30E2">
        <w:rPr>
          <w:lang w:val="sr-Cyrl-CS"/>
        </w:rPr>
        <w:lastRenderedPageBreak/>
        <w:t>Понуде се достављају путем поште на адресу ЈУП Истраживање и развој д</w:t>
      </w:r>
      <w:r w:rsidR="00956607" w:rsidRPr="00DC30E2">
        <w:rPr>
          <w:lang w:val="sr-Cyrl-CS"/>
        </w:rPr>
        <w:t>.</w:t>
      </w:r>
      <w:r w:rsidRPr="00DC30E2">
        <w:rPr>
          <w:lang w:val="sr-Cyrl-CS"/>
        </w:rPr>
        <w:t>о</w:t>
      </w:r>
      <w:r w:rsidR="00956607" w:rsidRPr="00DC30E2">
        <w:rPr>
          <w:lang w:val="sr-Cyrl-CS"/>
        </w:rPr>
        <w:t>.</w:t>
      </w:r>
      <w:r w:rsidR="009B718E" w:rsidRPr="00DC30E2">
        <w:rPr>
          <w:lang w:val="sr-Cyrl-CS"/>
        </w:rPr>
        <w:t>о, ул. Вељка Дугошевића бр. 54</w:t>
      </w:r>
      <w:r w:rsidRPr="00DC30E2">
        <w:rPr>
          <w:lang w:val="sr-Cyrl-CS"/>
        </w:rPr>
        <w:t xml:space="preserve">, </w:t>
      </w:r>
      <w:r w:rsidR="00C90942">
        <w:rPr>
          <w:lang w:val="sr-Cyrl-CS"/>
        </w:rPr>
        <w:t xml:space="preserve">НТП </w:t>
      </w:r>
      <w:r w:rsidR="009B718E" w:rsidRPr="00DC30E2">
        <w:rPr>
          <w:lang w:val="sr-Cyrl-CS"/>
        </w:rPr>
        <w:t>Звездара</w:t>
      </w:r>
      <w:r w:rsidR="00C90942">
        <w:rPr>
          <w:lang w:val="sr-Cyrl-CS"/>
        </w:rPr>
        <w:t>,</w:t>
      </w:r>
      <w:r w:rsidR="009B718E" w:rsidRPr="00DC30E2">
        <w:rPr>
          <w:lang w:val="sr-Cyrl-CS"/>
        </w:rPr>
        <w:t xml:space="preserve"> </w:t>
      </w:r>
      <w:r w:rsidRPr="00DC30E2">
        <w:rPr>
          <w:lang w:val="sr-Cyrl-CS"/>
        </w:rPr>
        <w:t>Београд или лично сваког радног дана од</w:t>
      </w:r>
      <w:r w:rsidR="00A60584" w:rsidRPr="00DC30E2">
        <w:rPr>
          <w:lang w:val="en-US"/>
        </w:rPr>
        <w:t xml:space="preserve"> </w:t>
      </w:r>
      <w:r w:rsidRPr="00DC30E2">
        <w:rPr>
          <w:lang w:val="sr-Cyrl-CS"/>
        </w:rPr>
        <w:t>10</w:t>
      </w:r>
      <w:r w:rsidR="00CF6209" w:rsidRPr="00DC30E2">
        <w:t>.00</w:t>
      </w:r>
      <w:r w:rsidRPr="00DC30E2">
        <w:rPr>
          <w:lang w:val="sr-Cyrl-CS"/>
        </w:rPr>
        <w:t xml:space="preserve"> до 16</w:t>
      </w:r>
      <w:r w:rsidR="00CF6209" w:rsidRPr="00DC30E2">
        <w:t>.00</w:t>
      </w:r>
      <w:r w:rsidRPr="00DC30E2">
        <w:rPr>
          <w:lang w:val="sr-Cyrl-CS"/>
        </w:rPr>
        <w:t xml:space="preserve"> часова на исту адресу.</w:t>
      </w:r>
    </w:p>
    <w:p w:rsidR="00C90942" w:rsidRDefault="00C90942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rFonts w:cs="Arial"/>
          <w:szCs w:val="22"/>
          <w:lang w:val="it-IT"/>
        </w:rPr>
        <w:t>Све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понуде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морају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садрже</w:t>
      </w:r>
      <w:r>
        <w:rPr>
          <w:lang w:val="it-IT"/>
        </w:rPr>
        <w:t xml:space="preserve"> гаранцију</w:t>
      </w:r>
      <w:r w:rsidRPr="00253C1B">
        <w:rPr>
          <w:lang w:val="it-IT"/>
        </w:rPr>
        <w:t xml:space="preserve"> </w:t>
      </w:r>
      <w:r>
        <w:t xml:space="preserve">понуде </w:t>
      </w:r>
      <w:r>
        <w:rPr>
          <w:lang w:val="it-IT"/>
        </w:rPr>
        <w:t>у</w:t>
      </w:r>
      <w:r w:rsidRPr="00253C1B">
        <w:rPr>
          <w:lang w:val="it-IT"/>
        </w:rPr>
        <w:t xml:space="preserve"> </w:t>
      </w:r>
      <w:r>
        <w:rPr>
          <w:lang w:val="sr-Cyrl-CS"/>
        </w:rPr>
        <w:t>и</w:t>
      </w:r>
      <w:r>
        <w:rPr>
          <w:lang w:val="it-IT"/>
        </w:rPr>
        <w:t>зносу</w:t>
      </w:r>
      <w:r>
        <w:rPr>
          <w:lang w:val="sr-Cyrl-CS"/>
        </w:rPr>
        <w:t xml:space="preserve"> од:</w:t>
      </w:r>
    </w:p>
    <w:p w:rsidR="00C90942" w:rsidRPr="00991AE6" w:rsidRDefault="00C90942" w:rsidP="00C90942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Lot 1,2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991AE6">
        <w:rPr>
          <w:rFonts w:ascii="Times New Roman" w:eastAsia="Times New Roman" w:hAnsi="Times New Roman"/>
          <w:sz w:val="24"/>
          <w:szCs w:val="24"/>
        </w:rPr>
        <w:t xml:space="preserve"> 3: </w:t>
      </w:r>
      <w:r w:rsidRPr="00991AE6">
        <w:rPr>
          <w:rFonts w:ascii="Times New Roman" w:eastAsia="Times New Roman" w:hAnsi="Times New Roman"/>
          <w:iCs/>
          <w:sz w:val="24"/>
          <w:szCs w:val="24"/>
        </w:rPr>
        <w:t xml:space="preserve">50.000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евра</w:t>
      </w:r>
      <w:r w:rsidRPr="00991AE6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по лоту</w:t>
      </w:r>
      <w:r w:rsidRPr="00991AE6">
        <w:rPr>
          <w:rFonts w:ascii="Times New Roman" w:eastAsia="Times New Roman" w:hAnsi="Times New Roman"/>
          <w:iCs/>
          <w:sz w:val="24"/>
          <w:szCs w:val="24"/>
        </w:rPr>
        <w:t>)</w:t>
      </w:r>
    </w:p>
    <w:p w:rsidR="00C90942" w:rsidRPr="00C90942" w:rsidRDefault="00C90942" w:rsidP="00C9094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991AE6">
        <w:rPr>
          <w:iCs/>
        </w:rPr>
        <w:t xml:space="preserve">Lot 4: 10.000 </w:t>
      </w:r>
      <w:r>
        <w:rPr>
          <w:iCs/>
          <w:lang w:val="sr-Cyrl-CS"/>
        </w:rPr>
        <w:t>евра</w:t>
      </w:r>
    </w:p>
    <w:p w:rsidR="00C90942" w:rsidRDefault="00C90942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it-IT"/>
        </w:rPr>
        <w:t>наплативо</w:t>
      </w:r>
      <w:r w:rsidRPr="00253C1B">
        <w:rPr>
          <w:lang w:val="it-IT"/>
        </w:rPr>
        <w:t xml:space="preserve"> </w:t>
      </w:r>
      <w:r>
        <w:rPr>
          <w:szCs w:val="22"/>
          <w:lang w:val="it-IT"/>
        </w:rPr>
        <w:t>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динарској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противредност</w:t>
      </w:r>
      <w:r>
        <w:rPr>
          <w:szCs w:val="22"/>
        </w:rPr>
        <w:t>и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обрачунато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по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средњем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курсу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НБС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дан</w:t>
      </w:r>
      <w:r w:rsidRPr="00253C1B">
        <w:rPr>
          <w:szCs w:val="22"/>
          <w:lang w:val="it-IT"/>
        </w:rPr>
        <w:t xml:space="preserve"> </w:t>
      </w:r>
      <w:r>
        <w:rPr>
          <w:szCs w:val="22"/>
          <w:lang w:val="it-IT"/>
        </w:rPr>
        <w:t>наплате</w:t>
      </w:r>
      <w:r w:rsidRPr="00253C1B">
        <w:rPr>
          <w:lang w:val="it-IT"/>
        </w:rPr>
        <w:t xml:space="preserve"> </w:t>
      </w:r>
      <w:r>
        <w:rPr>
          <w:lang w:val="it-IT"/>
        </w:rPr>
        <w:t>за</w:t>
      </w:r>
      <w:r w:rsidRPr="00253C1B">
        <w:rPr>
          <w:lang w:val="it-IT"/>
        </w:rPr>
        <w:t xml:space="preserve"> </w:t>
      </w:r>
      <w:r>
        <w:rPr>
          <w:lang w:val="it-IT"/>
        </w:rPr>
        <w:t>понуђаче</w:t>
      </w:r>
      <w:r w:rsidRPr="00253C1B">
        <w:rPr>
          <w:lang w:val="it-IT"/>
        </w:rPr>
        <w:t xml:space="preserve"> </w:t>
      </w:r>
      <w:r>
        <w:rPr>
          <w:lang w:val="it-IT"/>
        </w:rPr>
        <w:t>резиденте</w:t>
      </w:r>
      <w:r w:rsidRPr="00253C1B">
        <w:rPr>
          <w:lang w:val="it-IT"/>
        </w:rPr>
        <w:t xml:space="preserve"> </w:t>
      </w:r>
      <w:r>
        <w:rPr>
          <w:lang w:val="it-IT"/>
        </w:rPr>
        <w:t>Републике</w:t>
      </w:r>
      <w:r w:rsidRPr="00253C1B">
        <w:rPr>
          <w:lang w:val="it-IT"/>
        </w:rPr>
        <w:t xml:space="preserve"> </w:t>
      </w:r>
      <w:r>
        <w:rPr>
          <w:lang w:val="it-IT"/>
        </w:rPr>
        <w:t>Србије.</w:t>
      </w:r>
    </w:p>
    <w:p w:rsidR="00606BCF" w:rsidRPr="00606BCF" w:rsidRDefault="00606BCF" w:rsidP="00606BCF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дају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процедуром</w:t>
      </w:r>
      <w:r w:rsidRPr="00082E98">
        <w:rPr>
          <w:lang w:val="sr-Cyrl-CS"/>
        </w:rPr>
        <w:t xml:space="preserve"> </w:t>
      </w:r>
      <w:r>
        <w:rPr>
          <w:lang w:val="sr-Cyrl-CS"/>
        </w:rPr>
        <w:t>„две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”, </w:t>
      </w:r>
      <w:r>
        <w:rPr>
          <w:lang w:val="sr-Cyrl-CS"/>
        </w:rPr>
        <w:t>при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којој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техничке</w:t>
      </w:r>
      <w:r w:rsidRPr="00082E98">
        <w:rPr>
          <w:lang w:val="sr-Cyrl-CS"/>
        </w:rPr>
        <w:t xml:space="preserve"> (</w:t>
      </w:r>
      <w:r>
        <w:rPr>
          <w:lang w:val="sr-Cyrl-CS"/>
        </w:rPr>
        <w:t>административне</w:t>
      </w:r>
      <w:r w:rsidRPr="00082E98">
        <w:rPr>
          <w:lang w:val="sr-Cyrl-CS"/>
        </w:rPr>
        <w:t xml:space="preserve">)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подносе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заједно</w:t>
      </w:r>
      <w:r w:rsidRPr="00082E98">
        <w:rPr>
          <w:lang w:val="sr-Cyrl-CS"/>
        </w:rPr>
        <w:t xml:space="preserve">, </w:t>
      </w:r>
      <w:r>
        <w:rPr>
          <w:lang w:val="sr-Cyrl-CS"/>
        </w:rPr>
        <w:t>али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одвојеним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ковертама. Техничке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прве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оцењују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погледу</w:t>
      </w:r>
      <w:r w:rsidRPr="00082E98">
        <w:rPr>
          <w:lang w:val="sr-Cyrl-CS"/>
        </w:rPr>
        <w:t xml:space="preserve"> </w:t>
      </w:r>
      <w:r>
        <w:rPr>
          <w:lang w:val="sr-Cyrl-CS"/>
        </w:rPr>
        <w:t>испуњености услова</w:t>
      </w:r>
      <w:r w:rsidRPr="00082E98">
        <w:rPr>
          <w:lang w:val="sr-Cyrl-CS"/>
        </w:rPr>
        <w:t xml:space="preserve">. </w:t>
      </w:r>
      <w:r>
        <w:rPr>
          <w:lang w:val="sr-Cyrl-CS"/>
        </w:rPr>
        <w:t>Затим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отварају</w:t>
      </w:r>
      <w:r w:rsidRPr="00082E98">
        <w:rPr>
          <w:lang w:val="sr-Cyrl-CS"/>
        </w:rPr>
        <w:t xml:space="preserve"> </w:t>
      </w:r>
      <w:r>
        <w:rPr>
          <w:lang w:val="sr-Cyrl-CS"/>
        </w:rPr>
        <w:t>финансијске</w:t>
      </w:r>
      <w:r w:rsidRPr="00082E98">
        <w:rPr>
          <w:lang w:val="sr-Cyrl-CS"/>
        </w:rPr>
        <w:t xml:space="preserve"> </w:t>
      </w:r>
      <w:r>
        <w:rPr>
          <w:lang w:val="sr-Cyrl-CS"/>
        </w:rPr>
        <w:t>коверте</w:t>
      </w:r>
      <w:r w:rsidRPr="00082E98">
        <w:rPr>
          <w:lang w:val="sr-Cyrl-CS"/>
        </w:rPr>
        <w:t xml:space="preserve"> </w:t>
      </w:r>
      <w:r>
        <w:rPr>
          <w:lang w:val="sr-Cyrl-CS"/>
        </w:rPr>
        <w:t>само</w:t>
      </w:r>
      <w:r w:rsidRPr="00082E98">
        <w:rPr>
          <w:lang w:val="sr-Cyrl-CS"/>
        </w:rPr>
        <w:t xml:space="preserve"> </w:t>
      </w:r>
      <w:r>
        <w:rPr>
          <w:lang w:val="sr-Cyrl-CS"/>
        </w:rPr>
        <w:t>технички</w:t>
      </w:r>
      <w:r w:rsidRPr="00082E98">
        <w:rPr>
          <w:lang w:val="sr-Cyrl-CS"/>
        </w:rPr>
        <w:t xml:space="preserve"> </w:t>
      </w:r>
      <w:r>
        <w:rPr>
          <w:lang w:val="sr-Cyrl-CS"/>
        </w:rPr>
        <w:t>исправних</w:t>
      </w:r>
      <w:r w:rsidRPr="00082E98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082E98">
        <w:rPr>
          <w:lang w:val="sr-Cyrl-CS"/>
        </w:rPr>
        <w:t>.</w:t>
      </w:r>
    </w:p>
    <w:p w:rsidR="00C90942" w:rsidRPr="00F06B37" w:rsidRDefault="00C90942" w:rsidP="00C9094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 xml:space="preserve">Крајњи рок за достављање понуда је </w:t>
      </w:r>
      <w:r>
        <w:rPr>
          <w:lang w:val="sr-Cyrl-CS"/>
        </w:rPr>
        <w:t>28</w:t>
      </w:r>
      <w:r w:rsidRPr="00F06B37">
        <w:rPr>
          <w:lang w:val="sr-Cyrl-CS"/>
        </w:rPr>
        <w:t xml:space="preserve">. </w:t>
      </w:r>
      <w:r>
        <w:rPr>
          <w:lang w:val="sr-Cyrl-CS"/>
        </w:rPr>
        <w:t>фебруар</w:t>
      </w:r>
      <w:r w:rsidRPr="00F06B37">
        <w:rPr>
          <w:lang w:val="sr-Cyrl-CS"/>
        </w:rPr>
        <w:t xml:space="preserve"> 201</w:t>
      </w:r>
      <w:r>
        <w:rPr>
          <w:lang w:val="sr-Cyrl-CS"/>
        </w:rPr>
        <w:t>4</w:t>
      </w:r>
      <w:r w:rsidRPr="00F06B37">
        <w:rPr>
          <w:lang w:val="sr-Cyrl-CS"/>
        </w:rPr>
        <w:t>. године до 12.00 часова.</w:t>
      </w:r>
    </w:p>
    <w:p w:rsidR="00C90942" w:rsidRPr="00F06B37" w:rsidRDefault="00C90942" w:rsidP="00C9094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C90942" w:rsidRDefault="00C90942" w:rsidP="00C9094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F06B37">
        <w:rPr>
          <w:lang w:val="sr-Cyrl-CS"/>
        </w:rPr>
        <w:t xml:space="preserve">Јавно отварање понуда ће се обавити </w:t>
      </w:r>
      <w:r>
        <w:rPr>
          <w:lang w:val="sr-Cyrl-CS"/>
        </w:rPr>
        <w:t>28</w:t>
      </w:r>
      <w:r w:rsidRPr="00F06B37">
        <w:t xml:space="preserve">. </w:t>
      </w:r>
      <w:r>
        <w:rPr>
          <w:lang w:val="sr-Cyrl-CS"/>
        </w:rPr>
        <w:t>фебруара</w:t>
      </w:r>
      <w:r w:rsidRPr="00F06B37">
        <w:rPr>
          <w:lang w:val="sr-Cyrl-CS"/>
        </w:rPr>
        <w:t xml:space="preserve"> 201</w:t>
      </w:r>
      <w:r>
        <w:rPr>
          <w:lang w:val="sr-Cyrl-CS"/>
        </w:rPr>
        <w:t>4</w:t>
      </w:r>
      <w:r w:rsidRPr="00E74624">
        <w:rPr>
          <w:lang w:val="sr-Cyrl-CS"/>
        </w:rPr>
        <w:t>. године, у 13.00 часова у просторијама ЈУП Истраживање и развој д</w:t>
      </w:r>
      <w:r>
        <w:rPr>
          <w:lang w:val="sr-Cyrl-CS"/>
        </w:rPr>
        <w:t>.</w:t>
      </w:r>
      <w:r w:rsidRPr="00E74624">
        <w:rPr>
          <w:lang w:val="sr-Cyrl-CS"/>
        </w:rPr>
        <w:t>о</w:t>
      </w:r>
      <w:r>
        <w:rPr>
          <w:lang w:val="sr-Cyrl-CS"/>
        </w:rPr>
        <w:t>.</w:t>
      </w:r>
      <w:r w:rsidRPr="00E74624">
        <w:rPr>
          <w:lang w:val="sr-Cyrl-CS"/>
        </w:rPr>
        <w:t xml:space="preserve">о, ул. </w:t>
      </w:r>
      <w:r>
        <w:rPr>
          <w:lang w:val="sr-Cyrl-CS"/>
        </w:rPr>
        <w:t>Вељка Дугошевића</w:t>
      </w:r>
      <w:r w:rsidRPr="00E74624">
        <w:rPr>
          <w:lang w:val="sr-Cyrl-CS"/>
        </w:rPr>
        <w:t xml:space="preserve"> бр. </w:t>
      </w:r>
      <w:r>
        <w:rPr>
          <w:lang w:val="sr-Cyrl-CS"/>
        </w:rPr>
        <w:t>5</w:t>
      </w:r>
      <w:r w:rsidRPr="00E74624">
        <w:rPr>
          <w:lang w:val="sr-Cyrl-CS"/>
        </w:rPr>
        <w:t>4</w:t>
      </w:r>
      <w:r>
        <w:rPr>
          <w:lang w:val="sr-Cyrl-CS"/>
        </w:rPr>
        <w:t>, НТП Звездара,</w:t>
      </w:r>
      <w:r w:rsidRPr="00E74624">
        <w:rPr>
          <w:lang w:val="sr-Cyrl-CS"/>
        </w:rPr>
        <w:t xml:space="preserve"> Београд, уз</w:t>
      </w:r>
      <w:r w:rsidRPr="004029A6">
        <w:rPr>
          <w:lang w:val="sr-Cyrl-CS"/>
        </w:rPr>
        <w:t xml:space="preserve"> </w:t>
      </w:r>
      <w:r>
        <w:rPr>
          <w:lang w:val="sr-Cyrl-CS"/>
        </w:rPr>
        <w:t>учешће</w:t>
      </w:r>
      <w:r w:rsidRPr="004029A6">
        <w:rPr>
          <w:lang w:val="sr-Cyrl-CS"/>
        </w:rPr>
        <w:t xml:space="preserve"> овлашћених представника понуђача.</w:t>
      </w:r>
    </w:p>
    <w:p w:rsidR="00606BCF" w:rsidRDefault="00606BCF" w:rsidP="00C90942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>Отварање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финансијског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дела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се</w:t>
      </w:r>
      <w:r w:rsidRPr="008A18AB">
        <w:rPr>
          <w:lang w:val="sr-Cyrl-CS"/>
        </w:rPr>
        <w:t xml:space="preserve"> </w:t>
      </w:r>
      <w:r>
        <w:rPr>
          <w:lang w:val="sr-Cyrl-CS"/>
        </w:rPr>
        <w:t>након</w:t>
      </w:r>
      <w:r w:rsidRPr="008A18AB">
        <w:rPr>
          <w:lang w:val="sr-Cyrl-CS"/>
        </w:rPr>
        <w:t xml:space="preserve"> </w:t>
      </w:r>
      <w:r>
        <w:rPr>
          <w:lang w:val="sr-Cyrl-CS"/>
        </w:rPr>
        <w:t>извршеног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прегледа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техничког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дела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 xml:space="preserve">, </w:t>
      </w:r>
      <w:r>
        <w:rPr>
          <w:lang w:val="sr-Cyrl-CS"/>
        </w:rPr>
        <w:t>Наручилац</w:t>
      </w:r>
      <w:r w:rsidRPr="008A18AB">
        <w:rPr>
          <w:lang w:val="sr-Cyrl-CS"/>
        </w:rPr>
        <w:t xml:space="preserve"> </w:t>
      </w:r>
      <w:r>
        <w:rPr>
          <w:lang w:val="sr-Cyrl-CS"/>
        </w:rPr>
        <w:t>ће</w:t>
      </w:r>
      <w:r w:rsidRPr="008A18AB">
        <w:rPr>
          <w:lang w:val="sr-Cyrl-CS"/>
        </w:rPr>
        <w:t xml:space="preserve"> </w:t>
      </w:r>
      <w:r>
        <w:rPr>
          <w:lang w:val="sr-Cyrl-CS"/>
        </w:rPr>
        <w:t>свим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који</w:t>
      </w:r>
      <w:r w:rsidRPr="008A18AB">
        <w:rPr>
          <w:lang w:val="sr-Cyrl-CS"/>
        </w:rPr>
        <w:t xml:space="preserve"> </w:t>
      </w:r>
      <w:r>
        <w:rPr>
          <w:lang w:val="sr-Cyrl-CS"/>
        </w:rPr>
        <w:t>су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поднели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понуде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доставити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образложену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одлуку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</w:t>
      </w:r>
      <w:r w:rsidRPr="008A18AB">
        <w:rPr>
          <w:lang w:val="sr-Cyrl-CS"/>
        </w:rPr>
        <w:t xml:space="preserve"> </w:t>
      </w:r>
      <w:r>
        <w:rPr>
          <w:lang w:val="sr-Cyrl-CS"/>
        </w:rPr>
        <w:t>испуњености техничких захтева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као</w:t>
      </w:r>
      <w:r w:rsidRPr="008A18AB">
        <w:rPr>
          <w:lang w:val="sr-Cyrl-CS"/>
        </w:rPr>
        <w:t xml:space="preserve"> </w:t>
      </w:r>
      <w:r>
        <w:rPr>
          <w:lang w:val="sr-Cyrl-CS"/>
        </w:rPr>
        <w:t>и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позив</w:t>
      </w:r>
      <w:r w:rsidRPr="008A18AB">
        <w:rPr>
          <w:lang w:val="sr-Cyrl-CS"/>
        </w:rPr>
        <w:t xml:space="preserve"> </w:t>
      </w:r>
      <w:r>
        <w:rPr>
          <w:lang w:val="sr-Cyrl-CS"/>
        </w:rPr>
        <w:t>квалификованим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Pr="008A18AB">
        <w:rPr>
          <w:lang w:val="sr-Cyrl-CS"/>
        </w:rPr>
        <w:t xml:space="preserve"> </w:t>
      </w:r>
      <w:r>
        <w:rPr>
          <w:lang w:val="sr-Cyrl-CS"/>
        </w:rPr>
        <w:t>да</w:t>
      </w:r>
      <w:r w:rsidRPr="008A18AB">
        <w:rPr>
          <w:lang w:val="sr-Cyrl-CS"/>
        </w:rPr>
        <w:t xml:space="preserve"> </w:t>
      </w:r>
      <w:r>
        <w:rPr>
          <w:lang w:val="sr-Cyrl-CS"/>
        </w:rPr>
        <w:t>учествују</w:t>
      </w:r>
      <w:r w:rsidRPr="008A18AB">
        <w:rPr>
          <w:lang w:val="sr-Cyrl-CS"/>
        </w:rPr>
        <w:t xml:space="preserve"> </w:t>
      </w:r>
      <w:r>
        <w:rPr>
          <w:lang w:val="sr-Cyrl-CS"/>
        </w:rPr>
        <w:t>у</w:t>
      </w:r>
      <w:r w:rsidRPr="008A18AB">
        <w:rPr>
          <w:lang w:val="sr-Cyrl-CS"/>
        </w:rPr>
        <w:t xml:space="preserve"> </w:t>
      </w:r>
      <w:r>
        <w:rPr>
          <w:lang w:val="sr-Cyrl-CS"/>
        </w:rPr>
        <w:t>отварању</w:t>
      </w:r>
      <w:r w:rsidRPr="008A18AB">
        <w:rPr>
          <w:lang w:val="sr-Cyrl-CS"/>
        </w:rPr>
        <w:t xml:space="preserve"> </w:t>
      </w:r>
      <w:r>
        <w:rPr>
          <w:lang w:val="sr-Cyrl-CS"/>
        </w:rPr>
        <w:t>финансијских</w:t>
      </w:r>
      <w:r w:rsidRPr="008A18A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8A18AB">
        <w:rPr>
          <w:lang w:val="sr-Cyrl-CS"/>
        </w:rPr>
        <w:t>.</w:t>
      </w:r>
    </w:p>
    <w:p w:rsidR="00C90942" w:rsidRDefault="00C90942" w:rsidP="00C90942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>
        <w:rPr>
          <w:lang w:val="sr-Cyrl-CS"/>
        </w:rPr>
        <w:t>,</w:t>
      </w:r>
      <w:r w:rsidRPr="004029A6">
        <w:rPr>
          <w:lang w:val="sr-Cyrl-CS"/>
        </w:rPr>
        <w:t xml:space="preserve"> </w:t>
      </w:r>
      <w:r>
        <w:rPr>
          <w:lang w:val="sr-Cyrl-CS"/>
        </w:rPr>
        <w:t xml:space="preserve">укључујући и оне о начину увида у конкурсну документацију, </w:t>
      </w:r>
      <w:r w:rsidRPr="004029A6">
        <w:rPr>
          <w:lang w:val="sr-Cyrl-CS"/>
        </w:rPr>
        <w:t>могу</w:t>
      </w:r>
      <w:r>
        <w:rPr>
          <w:lang w:val="sr-Cyrl-CS"/>
        </w:rPr>
        <w:t xml:space="preserve"> се</w:t>
      </w:r>
      <w:r w:rsidRPr="004029A6">
        <w:rPr>
          <w:lang w:val="sr-Cyrl-CS"/>
        </w:rPr>
        <w:t xml:space="preserve"> добити </w:t>
      </w:r>
      <w:r>
        <w:rPr>
          <w:lang w:val="sr-Cyrl-CS"/>
        </w:rPr>
        <w:t>на следећи начин:</w:t>
      </w:r>
    </w:p>
    <w:p w:rsidR="00C90942" w:rsidRDefault="00C90942" w:rsidP="00131FFF">
      <w:pPr>
        <w:pStyle w:val="NormalWeb"/>
        <w:spacing w:before="0" w:beforeAutospacing="0" w:after="0" w:afterAutospacing="0"/>
        <w:jc w:val="both"/>
        <w:rPr>
          <w:rStyle w:val="Hyperlink"/>
          <w:lang w:val="en-US"/>
        </w:rPr>
      </w:pPr>
      <w:r w:rsidRPr="008C0994">
        <w:rPr>
          <w:lang w:val="en-US"/>
        </w:rPr>
        <w:t xml:space="preserve">E-mail: </w:t>
      </w:r>
      <w:hyperlink r:id="rId8" w:history="1">
        <w:r w:rsidRPr="008C0994">
          <w:rPr>
            <w:rStyle w:val="Hyperlink"/>
            <w:lang w:val="en-US"/>
          </w:rPr>
          <w:t>tender@pi</w:t>
        </w:r>
        <w:bookmarkStart w:id="0" w:name="_GoBack"/>
        <w:bookmarkEnd w:id="0"/>
        <w:r w:rsidRPr="008C0994">
          <w:rPr>
            <w:rStyle w:val="Hyperlink"/>
            <w:lang w:val="en-US"/>
          </w:rPr>
          <w:t>u.rs</w:t>
        </w:r>
      </w:hyperlink>
    </w:p>
    <w:p w:rsidR="00131FFF" w:rsidRPr="002452AD" w:rsidRDefault="00131FFF" w:rsidP="00131F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Web: </w:t>
      </w:r>
      <w:hyperlink r:id="rId9" w:history="1">
        <w:r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131FFF" w:rsidRDefault="00131FFF" w:rsidP="00C90942">
      <w:pPr>
        <w:pStyle w:val="NormalWeb"/>
        <w:spacing w:before="0" w:beforeAutospacing="0" w:after="200" w:afterAutospacing="0"/>
        <w:jc w:val="both"/>
        <w:rPr>
          <w:lang w:val="sr-Cyrl-CS"/>
        </w:rPr>
      </w:pPr>
    </w:p>
    <w:p w:rsidR="0097644B" w:rsidRPr="001F1D71" w:rsidRDefault="0097644B" w:rsidP="00DC30E2">
      <w:pPr>
        <w:pStyle w:val="NormalWeb"/>
        <w:spacing w:before="0" w:beforeAutospacing="0" w:after="200" w:afterAutospacing="0"/>
        <w:jc w:val="both"/>
        <w:rPr>
          <w:lang w:val="en-US"/>
        </w:rPr>
      </w:pPr>
    </w:p>
    <w:sectPr w:rsidR="0097644B" w:rsidRPr="001F1D71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562"/>
    <w:rsid w:val="00004CDF"/>
    <w:rsid w:val="000129F3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31FFF"/>
    <w:rsid w:val="0014673E"/>
    <w:rsid w:val="00164DED"/>
    <w:rsid w:val="00167A66"/>
    <w:rsid w:val="00171F05"/>
    <w:rsid w:val="001811D4"/>
    <w:rsid w:val="00181AA3"/>
    <w:rsid w:val="001A08D9"/>
    <w:rsid w:val="001A647D"/>
    <w:rsid w:val="001A766F"/>
    <w:rsid w:val="001B49E4"/>
    <w:rsid w:val="001D0432"/>
    <w:rsid w:val="001D05F5"/>
    <w:rsid w:val="001E3721"/>
    <w:rsid w:val="001E3EBD"/>
    <w:rsid w:val="001E4796"/>
    <w:rsid w:val="001E69D6"/>
    <w:rsid w:val="001F1D71"/>
    <w:rsid w:val="001F5139"/>
    <w:rsid w:val="001F5F6D"/>
    <w:rsid w:val="002051A2"/>
    <w:rsid w:val="002111C7"/>
    <w:rsid w:val="00213864"/>
    <w:rsid w:val="002213D0"/>
    <w:rsid w:val="002355BB"/>
    <w:rsid w:val="00254B9C"/>
    <w:rsid w:val="002627CC"/>
    <w:rsid w:val="00262CF8"/>
    <w:rsid w:val="00263FAE"/>
    <w:rsid w:val="00266EB2"/>
    <w:rsid w:val="00267D0D"/>
    <w:rsid w:val="00274088"/>
    <w:rsid w:val="0028050F"/>
    <w:rsid w:val="002826A5"/>
    <w:rsid w:val="002827E0"/>
    <w:rsid w:val="00293DE7"/>
    <w:rsid w:val="002A1B4B"/>
    <w:rsid w:val="002B197F"/>
    <w:rsid w:val="002E424F"/>
    <w:rsid w:val="002E5046"/>
    <w:rsid w:val="002E57D1"/>
    <w:rsid w:val="002F4640"/>
    <w:rsid w:val="00302B0F"/>
    <w:rsid w:val="003034ED"/>
    <w:rsid w:val="003048D4"/>
    <w:rsid w:val="00313397"/>
    <w:rsid w:val="00313A0C"/>
    <w:rsid w:val="0032100F"/>
    <w:rsid w:val="00321B94"/>
    <w:rsid w:val="00332D4F"/>
    <w:rsid w:val="0035497F"/>
    <w:rsid w:val="00354BEB"/>
    <w:rsid w:val="00362477"/>
    <w:rsid w:val="00371E51"/>
    <w:rsid w:val="003731CD"/>
    <w:rsid w:val="0037605A"/>
    <w:rsid w:val="003816D9"/>
    <w:rsid w:val="003864E3"/>
    <w:rsid w:val="00387B9C"/>
    <w:rsid w:val="003A1838"/>
    <w:rsid w:val="003B0D67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4F42"/>
    <w:rsid w:val="00457D17"/>
    <w:rsid w:val="00460810"/>
    <w:rsid w:val="004837CE"/>
    <w:rsid w:val="00492D8B"/>
    <w:rsid w:val="004A1971"/>
    <w:rsid w:val="004B796D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7AC4"/>
    <w:rsid w:val="00506AD2"/>
    <w:rsid w:val="00507D2B"/>
    <w:rsid w:val="00527EF5"/>
    <w:rsid w:val="005306FE"/>
    <w:rsid w:val="00530CA4"/>
    <w:rsid w:val="00532FE9"/>
    <w:rsid w:val="00534C31"/>
    <w:rsid w:val="005508EF"/>
    <w:rsid w:val="00556E13"/>
    <w:rsid w:val="005723EA"/>
    <w:rsid w:val="00577AB7"/>
    <w:rsid w:val="0059296B"/>
    <w:rsid w:val="005A2675"/>
    <w:rsid w:val="005A751E"/>
    <w:rsid w:val="005B342F"/>
    <w:rsid w:val="005B570E"/>
    <w:rsid w:val="005D2440"/>
    <w:rsid w:val="005D40A6"/>
    <w:rsid w:val="005E1750"/>
    <w:rsid w:val="005F4878"/>
    <w:rsid w:val="00600A4D"/>
    <w:rsid w:val="00601498"/>
    <w:rsid w:val="00606BCF"/>
    <w:rsid w:val="00610211"/>
    <w:rsid w:val="00615F3D"/>
    <w:rsid w:val="00627103"/>
    <w:rsid w:val="00643A3B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E5EB0"/>
    <w:rsid w:val="006F22A2"/>
    <w:rsid w:val="00702CF5"/>
    <w:rsid w:val="00703DBD"/>
    <w:rsid w:val="00706E95"/>
    <w:rsid w:val="0071130D"/>
    <w:rsid w:val="0072047D"/>
    <w:rsid w:val="007335C9"/>
    <w:rsid w:val="007429F6"/>
    <w:rsid w:val="00744854"/>
    <w:rsid w:val="00751DFC"/>
    <w:rsid w:val="00767570"/>
    <w:rsid w:val="00783424"/>
    <w:rsid w:val="00783654"/>
    <w:rsid w:val="00785B3F"/>
    <w:rsid w:val="007B19FF"/>
    <w:rsid w:val="007B727F"/>
    <w:rsid w:val="007C4B93"/>
    <w:rsid w:val="007D1338"/>
    <w:rsid w:val="007D1B68"/>
    <w:rsid w:val="007D6B97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4667A"/>
    <w:rsid w:val="008514DA"/>
    <w:rsid w:val="00860CF2"/>
    <w:rsid w:val="00867FBF"/>
    <w:rsid w:val="00876E73"/>
    <w:rsid w:val="0088067E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4F01"/>
    <w:rsid w:val="008E7716"/>
    <w:rsid w:val="008F061A"/>
    <w:rsid w:val="008F6AF8"/>
    <w:rsid w:val="00905031"/>
    <w:rsid w:val="00912179"/>
    <w:rsid w:val="00915ABE"/>
    <w:rsid w:val="00920C92"/>
    <w:rsid w:val="0093102C"/>
    <w:rsid w:val="00933CD4"/>
    <w:rsid w:val="00934229"/>
    <w:rsid w:val="00952E10"/>
    <w:rsid w:val="00956607"/>
    <w:rsid w:val="00961D79"/>
    <w:rsid w:val="0096495A"/>
    <w:rsid w:val="0097100B"/>
    <w:rsid w:val="009730C6"/>
    <w:rsid w:val="0097644B"/>
    <w:rsid w:val="00977461"/>
    <w:rsid w:val="0098558C"/>
    <w:rsid w:val="009903BB"/>
    <w:rsid w:val="00990BD8"/>
    <w:rsid w:val="00993EC1"/>
    <w:rsid w:val="00995727"/>
    <w:rsid w:val="009964CC"/>
    <w:rsid w:val="009B44F0"/>
    <w:rsid w:val="009B718E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3DD7"/>
    <w:rsid w:val="00A276FB"/>
    <w:rsid w:val="00A42EAB"/>
    <w:rsid w:val="00A517AA"/>
    <w:rsid w:val="00A60584"/>
    <w:rsid w:val="00A62450"/>
    <w:rsid w:val="00A644F7"/>
    <w:rsid w:val="00A66248"/>
    <w:rsid w:val="00A67ABE"/>
    <w:rsid w:val="00A70EE6"/>
    <w:rsid w:val="00A9047F"/>
    <w:rsid w:val="00AA6300"/>
    <w:rsid w:val="00AC5E15"/>
    <w:rsid w:val="00AD2A6C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C20C4"/>
    <w:rsid w:val="00BD2C36"/>
    <w:rsid w:val="00BF17DC"/>
    <w:rsid w:val="00C00319"/>
    <w:rsid w:val="00C01346"/>
    <w:rsid w:val="00C21095"/>
    <w:rsid w:val="00C43034"/>
    <w:rsid w:val="00C43332"/>
    <w:rsid w:val="00C47C3E"/>
    <w:rsid w:val="00C56F95"/>
    <w:rsid w:val="00C72259"/>
    <w:rsid w:val="00C75F42"/>
    <w:rsid w:val="00C77991"/>
    <w:rsid w:val="00C90942"/>
    <w:rsid w:val="00CA212E"/>
    <w:rsid w:val="00CA70C6"/>
    <w:rsid w:val="00CC0A44"/>
    <w:rsid w:val="00CC4BD0"/>
    <w:rsid w:val="00CF1D83"/>
    <w:rsid w:val="00CF2016"/>
    <w:rsid w:val="00CF5FC5"/>
    <w:rsid w:val="00CF6209"/>
    <w:rsid w:val="00CF6805"/>
    <w:rsid w:val="00CF74F4"/>
    <w:rsid w:val="00D15B22"/>
    <w:rsid w:val="00D33A1B"/>
    <w:rsid w:val="00D37227"/>
    <w:rsid w:val="00D437C0"/>
    <w:rsid w:val="00D474BF"/>
    <w:rsid w:val="00D50483"/>
    <w:rsid w:val="00D52DBC"/>
    <w:rsid w:val="00D55B20"/>
    <w:rsid w:val="00D619BE"/>
    <w:rsid w:val="00D703B5"/>
    <w:rsid w:val="00D76CC5"/>
    <w:rsid w:val="00D812BB"/>
    <w:rsid w:val="00D81466"/>
    <w:rsid w:val="00D84DAE"/>
    <w:rsid w:val="00D87F2F"/>
    <w:rsid w:val="00DA1204"/>
    <w:rsid w:val="00DA3BEF"/>
    <w:rsid w:val="00DA49E5"/>
    <w:rsid w:val="00DA570C"/>
    <w:rsid w:val="00DA67A3"/>
    <w:rsid w:val="00DB5847"/>
    <w:rsid w:val="00DB7596"/>
    <w:rsid w:val="00DC30E2"/>
    <w:rsid w:val="00DC3D8A"/>
    <w:rsid w:val="00DC470C"/>
    <w:rsid w:val="00DD2D4C"/>
    <w:rsid w:val="00DD73E5"/>
    <w:rsid w:val="00DE0554"/>
    <w:rsid w:val="00DE46EF"/>
    <w:rsid w:val="00DE5F22"/>
    <w:rsid w:val="00DF245D"/>
    <w:rsid w:val="00DF6C3A"/>
    <w:rsid w:val="00DF78C3"/>
    <w:rsid w:val="00E13FD2"/>
    <w:rsid w:val="00E1518A"/>
    <w:rsid w:val="00E15892"/>
    <w:rsid w:val="00E262BC"/>
    <w:rsid w:val="00E262BF"/>
    <w:rsid w:val="00E30696"/>
    <w:rsid w:val="00E3193F"/>
    <w:rsid w:val="00E3432A"/>
    <w:rsid w:val="00E360B6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B6626"/>
    <w:rsid w:val="00EC1378"/>
    <w:rsid w:val="00EC24CB"/>
    <w:rsid w:val="00EC2F0E"/>
    <w:rsid w:val="00EE7024"/>
    <w:rsid w:val="00F04761"/>
    <w:rsid w:val="00F148BA"/>
    <w:rsid w:val="00F15980"/>
    <w:rsid w:val="00F242AB"/>
    <w:rsid w:val="00F242E1"/>
    <w:rsid w:val="00F34F33"/>
    <w:rsid w:val="00F35B18"/>
    <w:rsid w:val="00F41829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204F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i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b.org/projects/publications/guide-to-procur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AppData/Local/Microsoft/Windows/Temporary%20Internet%20Files/Content.Outlook/Z3QG1MW3/www.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A4AF-7211-4D6C-A983-BE88C2A9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2013-10-07T13:23:00Z</cp:lastPrinted>
  <dcterms:created xsi:type="dcterms:W3CDTF">2014-01-20T10:53:00Z</dcterms:created>
  <dcterms:modified xsi:type="dcterms:W3CDTF">2014-01-20T15:08:00Z</dcterms:modified>
</cp:coreProperties>
</file>