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81" w:rsidRPr="000A45B1" w:rsidRDefault="00A92081" w:rsidP="00E42E7B">
      <w:pPr>
        <w:spacing w:before="60" w:after="60" w:line="240" w:lineRule="auto"/>
        <w:rPr>
          <w:rFonts w:ascii="Times New Roman" w:hAnsi="Times New Roman" w:cs="Times New Roman"/>
        </w:rPr>
      </w:pPr>
    </w:p>
    <w:tbl>
      <w:tblPr>
        <w:tblW w:w="5000" w:type="pct"/>
        <w:tblCellMar>
          <w:left w:w="10" w:type="dxa"/>
          <w:right w:w="10" w:type="dxa"/>
        </w:tblCellMar>
        <w:tblLook w:val="0000"/>
      </w:tblPr>
      <w:tblGrid>
        <w:gridCol w:w="737"/>
        <w:gridCol w:w="3504"/>
        <w:gridCol w:w="5381"/>
      </w:tblGrid>
      <w:tr w:rsidR="00421C6D" w:rsidRPr="000A45B1" w:rsidTr="00D46B3C">
        <w:tc>
          <w:tcPr>
            <w:tcW w:w="383" w:type="pct"/>
            <w:shd w:val="clear" w:color="auto" w:fill="FFFFFF"/>
            <w:tcMar>
              <w:top w:w="0" w:type="dxa"/>
              <w:left w:w="108" w:type="dxa"/>
              <w:bottom w:w="0" w:type="dxa"/>
              <w:right w:w="108" w:type="dxa"/>
            </w:tcMar>
          </w:tcPr>
          <w:p w:rsidR="00421C6D" w:rsidRPr="000A45B1"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5A5742" w:rsidRDefault="00822D72" w:rsidP="00F303C0">
            <w:pPr>
              <w:spacing w:before="60" w:after="60" w:line="240" w:lineRule="auto"/>
              <w:jc w:val="center"/>
              <w:rPr>
                <w:rFonts w:ascii="Times New Roman" w:hAnsi="Times New Roman" w:cs="Times New Roman"/>
                <w:b/>
              </w:rPr>
            </w:pPr>
            <w:r w:rsidRPr="000A45B1">
              <w:rPr>
                <w:rFonts w:ascii="Times New Roman" w:hAnsi="Times New Roman" w:cs="Times New Roman"/>
                <w:b/>
              </w:rPr>
              <w:t xml:space="preserve">Procurement of the design of technical documentation for the construction of </w:t>
            </w:r>
          </w:p>
          <w:p w:rsidR="00421C6D" w:rsidRPr="000A45B1" w:rsidRDefault="005A5742" w:rsidP="00F303C0">
            <w:pPr>
              <w:spacing w:before="60" w:after="60" w:line="240" w:lineRule="auto"/>
              <w:jc w:val="center"/>
              <w:rPr>
                <w:rFonts w:ascii="Times New Roman" w:hAnsi="Times New Roman" w:cs="Times New Roman"/>
                <w:b/>
              </w:rPr>
            </w:pPr>
            <w:r>
              <w:rPr>
                <w:rFonts w:ascii="Times New Roman" w:hAnsi="Times New Roman" w:cs="Times New Roman"/>
                <w:b/>
              </w:rPr>
              <w:t>multi-</w:t>
            </w:r>
            <w:r w:rsidR="00822D72" w:rsidRPr="000A45B1">
              <w:rPr>
                <w:rFonts w:ascii="Times New Roman" w:hAnsi="Times New Roman" w:cs="Times New Roman"/>
                <w:b/>
              </w:rPr>
              <w:t>apartment buildings</w:t>
            </w:r>
            <w:r w:rsidR="00484B44" w:rsidRPr="000A45B1">
              <w:rPr>
                <w:rFonts w:ascii="Times New Roman" w:hAnsi="Times New Roman" w:cs="Times New Roman"/>
                <w:b/>
              </w:rPr>
              <w:t xml:space="preserve"> </w:t>
            </w:r>
          </w:p>
          <w:p w:rsidR="00484B44" w:rsidRPr="000A45B1" w:rsidRDefault="00484B44" w:rsidP="00F303C0">
            <w:pPr>
              <w:spacing w:before="60" w:after="60" w:line="240" w:lineRule="auto"/>
              <w:jc w:val="center"/>
              <w:rPr>
                <w:rFonts w:ascii="Times New Roman" w:hAnsi="Times New Roman" w:cs="Times New Roman"/>
                <w:b/>
              </w:rPr>
            </w:pPr>
          </w:p>
        </w:tc>
      </w:tr>
      <w:tr w:rsidR="00822D72" w:rsidRPr="000A45B1" w:rsidTr="00083F35">
        <w:tc>
          <w:tcPr>
            <w:tcW w:w="383" w:type="pct"/>
            <w:shd w:val="clear" w:color="auto" w:fill="FFFFFF"/>
            <w:tcMar>
              <w:top w:w="0" w:type="dxa"/>
              <w:left w:w="108" w:type="dxa"/>
              <w:bottom w:w="0" w:type="dxa"/>
              <w:right w:w="108" w:type="dxa"/>
            </w:tcMar>
          </w:tcPr>
          <w:p w:rsidR="00822D72" w:rsidRPr="000A45B1" w:rsidRDefault="00822D72" w:rsidP="00083F35">
            <w:pPr>
              <w:tabs>
                <w:tab w:val="left" w:pos="846"/>
                <w:tab w:val="left" w:pos="1002"/>
                <w:tab w:val="left" w:pos="1284"/>
              </w:tabs>
              <w:spacing w:before="60" w:after="60" w:line="240" w:lineRule="auto"/>
              <w:ind w:left="282" w:right="12" w:hanging="225"/>
              <w:jc w:val="center"/>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822D72" w:rsidRPr="000A45B1" w:rsidRDefault="00822D72" w:rsidP="00A90FD2">
            <w:pPr>
              <w:spacing w:before="60" w:after="60" w:line="240" w:lineRule="auto"/>
              <w:jc w:val="center"/>
              <w:rPr>
                <w:rFonts w:ascii="Roboto" w:hAnsi="Roboto"/>
              </w:rPr>
            </w:pPr>
            <w:r w:rsidRPr="000A45B1">
              <w:rPr>
                <w:rFonts w:ascii="Roboto" w:hAnsi="Roboto" w:cs="Arial"/>
                <w:b/>
              </w:rPr>
              <w:t>CONTRACT PROCUREMENT NOTICE – OPEN PROCEDURE</w:t>
            </w:r>
          </w:p>
        </w:tc>
      </w:tr>
      <w:tr w:rsidR="002D6E25" w:rsidRPr="000A45B1" w:rsidTr="00083F35">
        <w:trPr>
          <w:trHeight w:val="232"/>
        </w:trPr>
        <w:tc>
          <w:tcPr>
            <w:tcW w:w="383" w:type="pct"/>
            <w:shd w:val="clear" w:color="auto" w:fill="FFFFFF"/>
            <w:tcMar>
              <w:top w:w="0" w:type="dxa"/>
              <w:left w:w="108" w:type="dxa"/>
              <w:bottom w:w="0" w:type="dxa"/>
              <w:right w:w="108" w:type="dxa"/>
            </w:tcMar>
          </w:tcPr>
          <w:p w:rsidR="002D6E25" w:rsidRPr="000A45B1"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083F35">
            <w:pPr>
              <w:spacing w:before="60" w:after="60" w:line="240" w:lineRule="auto"/>
              <w:rPr>
                <w:rFonts w:ascii="Times New Roman" w:hAnsi="Times New Roman" w:cs="Times New Roman"/>
              </w:rPr>
            </w:pPr>
          </w:p>
        </w:tc>
      </w:tr>
      <w:tr w:rsidR="002D6E25" w:rsidRPr="000A45B1" w:rsidTr="00EB693E">
        <w:trPr>
          <w:trHeight w:val="430"/>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0A45B1" w:rsidRDefault="00822D72" w:rsidP="003779ED">
            <w:pPr>
              <w:spacing w:before="60" w:after="60" w:line="240" w:lineRule="auto"/>
              <w:rPr>
                <w:rFonts w:ascii="Times New Roman" w:hAnsi="Times New Roman" w:cs="Times New Roman"/>
              </w:rPr>
            </w:pPr>
            <w:r w:rsidRPr="000A45B1">
              <w:rPr>
                <w:rFonts w:ascii="Times New Roman" w:hAnsi="Times New Roman" w:cs="Times New Roman"/>
              </w:rPr>
              <w:t>Reference number</w:t>
            </w:r>
            <w:r w:rsidR="004511C2" w:rsidRPr="000A45B1">
              <w:rPr>
                <w:rFonts w:ascii="Times New Roman" w:hAnsi="Times New Roman" w:cs="Times New Roman"/>
              </w:rPr>
              <w:t>:</w:t>
            </w:r>
          </w:p>
        </w:tc>
        <w:tc>
          <w:tcPr>
            <w:tcW w:w="2796" w:type="pct"/>
            <w:shd w:val="clear" w:color="auto" w:fill="C6D9F1"/>
            <w:tcMar>
              <w:top w:w="0" w:type="dxa"/>
              <w:left w:w="108" w:type="dxa"/>
              <w:bottom w:w="0" w:type="dxa"/>
              <w:right w:w="108" w:type="dxa"/>
            </w:tcMar>
          </w:tcPr>
          <w:p w:rsidR="002D6E25" w:rsidRPr="000A45B1" w:rsidRDefault="00CB278C" w:rsidP="009C6217">
            <w:pPr>
              <w:spacing w:before="60" w:after="60" w:line="240" w:lineRule="auto"/>
              <w:rPr>
                <w:rFonts w:ascii="Times New Roman" w:hAnsi="Times New Roman" w:cs="Times New Roman"/>
                <w:highlight w:val="yellow"/>
              </w:rPr>
            </w:pPr>
            <w:r w:rsidRPr="000A45B1">
              <w:rPr>
                <w:rFonts w:ascii="Times New Roman" w:hAnsi="Times New Roman" w:cs="Times New Roman"/>
              </w:rPr>
              <w:t>RHP-W5-AB/IOP1-201</w:t>
            </w:r>
            <w:r w:rsidR="00C675BE">
              <w:rPr>
                <w:rFonts w:ascii="Times New Roman" w:hAnsi="Times New Roman" w:cs="Times New Roman"/>
              </w:rPr>
              <w:t>6</w:t>
            </w:r>
          </w:p>
        </w:tc>
      </w:tr>
      <w:tr w:rsidR="002D6E25" w:rsidRPr="000A45B1" w:rsidTr="00EB693E">
        <w:trPr>
          <w:trHeight w:val="280"/>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EB693E">
        <w:trPr>
          <w:trHeight w:val="2882"/>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0A45B1" w:rsidRDefault="00F5074E" w:rsidP="00822D72">
            <w:pPr>
              <w:spacing w:before="60" w:after="60" w:line="240" w:lineRule="auto"/>
              <w:rPr>
                <w:rFonts w:ascii="Times New Roman" w:hAnsi="Times New Roman" w:cs="Times New Roman"/>
              </w:rPr>
            </w:pPr>
            <w:r w:rsidRPr="000A45B1">
              <w:rPr>
                <w:rFonts w:ascii="Times New Roman" w:hAnsi="Times New Roman" w:cs="Times New Roman"/>
              </w:rPr>
              <w:t>Program</w:t>
            </w:r>
            <w:r w:rsidR="00822D72" w:rsidRPr="000A45B1">
              <w:rPr>
                <w:rFonts w:ascii="Times New Roman" w:hAnsi="Times New Roman" w:cs="Times New Roman"/>
              </w:rPr>
              <w:t>me and financing</w:t>
            </w:r>
            <w:r w:rsidR="004511C2" w:rsidRPr="000A45B1">
              <w:rPr>
                <w:rFonts w:ascii="Times New Roman" w:hAnsi="Times New Roman" w:cs="Times New Roman"/>
              </w:rPr>
              <w:t>:</w:t>
            </w:r>
          </w:p>
        </w:tc>
        <w:tc>
          <w:tcPr>
            <w:tcW w:w="2796" w:type="pct"/>
            <w:shd w:val="clear" w:color="auto" w:fill="C6D9F1"/>
            <w:tcMar>
              <w:top w:w="0" w:type="dxa"/>
              <w:left w:w="108" w:type="dxa"/>
              <w:bottom w:w="0" w:type="dxa"/>
              <w:right w:w="108" w:type="dxa"/>
            </w:tcMar>
          </w:tcPr>
          <w:p w:rsidR="00FD5E00" w:rsidRPr="000A45B1" w:rsidRDefault="00822D72" w:rsidP="00484B44">
            <w:pPr>
              <w:tabs>
                <w:tab w:val="clear" w:pos="720"/>
                <w:tab w:val="left" w:pos="459"/>
              </w:tabs>
              <w:spacing w:before="60" w:after="60" w:line="240" w:lineRule="auto"/>
              <w:jc w:val="both"/>
              <w:rPr>
                <w:rFonts w:ascii="Times New Roman" w:hAnsi="Times New Roman" w:cs="Times New Roman"/>
                <w:i/>
              </w:rPr>
            </w:pPr>
            <w:r w:rsidRPr="000A45B1">
              <w:rPr>
                <w:rFonts w:ascii="Times New Roman" w:hAnsi="Times New Roman" w:cs="Times New Roman"/>
                <w:i/>
              </w:rPr>
              <w:t>Joint Regional Programme on Durable Solutions for Refugees and Displaced Persons</w:t>
            </w:r>
            <w:r w:rsidR="00BA0697" w:rsidRPr="000A45B1">
              <w:rPr>
                <w:rFonts w:ascii="Times New Roman" w:hAnsi="Times New Roman" w:cs="Times New Roman"/>
                <w:i/>
              </w:rPr>
              <w:t xml:space="preserve"> </w:t>
            </w:r>
            <w:r w:rsidR="00E60549" w:rsidRPr="000A45B1">
              <w:rPr>
                <w:rFonts w:ascii="Times New Roman" w:hAnsi="Times New Roman" w:cs="Times New Roman"/>
                <w:i/>
              </w:rPr>
              <w:t xml:space="preserve">– </w:t>
            </w:r>
            <w:r w:rsidR="00BA0697" w:rsidRPr="000A45B1">
              <w:rPr>
                <w:rFonts w:ascii="Times New Roman" w:hAnsi="Times New Roman" w:cs="Times New Roman"/>
                <w:i/>
              </w:rPr>
              <w:t>RHP</w:t>
            </w:r>
            <w:r w:rsidR="00E60549" w:rsidRPr="000A45B1">
              <w:rPr>
                <w:rFonts w:ascii="Times New Roman" w:hAnsi="Times New Roman" w:cs="Times New Roman"/>
                <w:i/>
              </w:rPr>
              <w:t xml:space="preserve">/ </w:t>
            </w:r>
            <w:r w:rsidRPr="000A45B1">
              <w:rPr>
                <w:rFonts w:ascii="Times New Roman" w:hAnsi="Times New Roman" w:cs="Times New Roman"/>
                <w:i/>
              </w:rPr>
              <w:t>Country Housing Programme in the Republic of Serbia</w:t>
            </w:r>
            <w:r w:rsidR="00E60549" w:rsidRPr="000A45B1">
              <w:rPr>
                <w:rFonts w:ascii="Times New Roman" w:hAnsi="Times New Roman" w:cs="Times New Roman"/>
                <w:i/>
              </w:rPr>
              <w:t>)</w:t>
            </w:r>
          </w:p>
          <w:p w:rsidR="0079371B" w:rsidRPr="000A45B1" w:rsidRDefault="0079371B" w:rsidP="00484B44">
            <w:pPr>
              <w:tabs>
                <w:tab w:val="clear" w:pos="720"/>
                <w:tab w:val="left" w:pos="459"/>
              </w:tabs>
              <w:spacing w:before="60" w:after="60" w:line="240" w:lineRule="auto"/>
              <w:jc w:val="both"/>
              <w:rPr>
                <w:rFonts w:ascii="Times New Roman" w:hAnsi="Times New Roman" w:cs="Times New Roman"/>
                <w:i/>
              </w:rPr>
            </w:pPr>
          </w:p>
          <w:p w:rsidR="00B172D4" w:rsidRPr="000A45B1" w:rsidRDefault="007C65C1" w:rsidP="00B172D4">
            <w:pPr>
              <w:tabs>
                <w:tab w:val="clear" w:pos="720"/>
                <w:tab w:val="left" w:pos="459"/>
              </w:tabs>
              <w:spacing w:before="60" w:after="60" w:line="240" w:lineRule="auto"/>
              <w:jc w:val="both"/>
              <w:rPr>
                <w:rFonts w:ascii="Times New Roman" w:hAnsi="Times New Roman" w:cs="Times New Roman"/>
              </w:rPr>
            </w:pPr>
            <w:r w:rsidRPr="000A45B1">
              <w:rPr>
                <w:rFonts w:ascii="Times New Roman" w:hAnsi="Times New Roman" w:cs="Times New Roman"/>
              </w:rPr>
              <w:t>Framework Agreement entered into between the Council of Europe Development Bank and the Republic of Serbia in relation to the Regional Housing Programme, signed on 25 October 2013 and Grant Agreement entered into between the Council of Europe Development Bank and the Republic of Serbia in relation to implementation of Subproject V of the Regional Housing Programme, signed on 14 August 2015</w:t>
            </w:r>
            <w:r w:rsidR="00F5074E" w:rsidRPr="000A45B1">
              <w:rPr>
                <w:rFonts w:ascii="Times New Roman" w:hAnsi="Times New Roman" w:cs="Times New Roman"/>
              </w:rPr>
              <w:t>.</w:t>
            </w:r>
          </w:p>
          <w:p w:rsidR="002D6E25" w:rsidRPr="000A45B1" w:rsidRDefault="002D6E25" w:rsidP="00B172D4">
            <w:pPr>
              <w:tabs>
                <w:tab w:val="clear" w:pos="720"/>
                <w:tab w:val="left" w:pos="459"/>
              </w:tabs>
              <w:spacing w:before="60" w:after="60" w:line="240" w:lineRule="auto"/>
              <w:jc w:val="both"/>
              <w:rPr>
                <w:rFonts w:ascii="Times New Roman" w:hAnsi="Times New Roman" w:cs="Times New Roman"/>
              </w:rPr>
            </w:pPr>
          </w:p>
        </w:tc>
      </w:tr>
      <w:tr w:rsidR="002D6E25" w:rsidRPr="000A45B1" w:rsidTr="009C6217">
        <w:trPr>
          <w:trHeight w:val="232"/>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EB693E">
        <w:trPr>
          <w:trHeight w:val="424"/>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0A45B1" w:rsidRDefault="00822D72" w:rsidP="00F520A4">
            <w:pPr>
              <w:spacing w:before="60" w:after="60" w:line="240" w:lineRule="auto"/>
              <w:rPr>
                <w:rFonts w:ascii="Times New Roman" w:hAnsi="Times New Roman" w:cs="Times New Roman"/>
              </w:rPr>
            </w:pPr>
            <w:r w:rsidRPr="000A45B1">
              <w:rPr>
                <w:rFonts w:ascii="Times New Roman" w:hAnsi="Times New Roman" w:cs="Times New Roman"/>
              </w:rPr>
              <w:t>Contracting Authority</w:t>
            </w:r>
            <w:r w:rsidR="004511C2" w:rsidRPr="000A45B1">
              <w:rPr>
                <w:rFonts w:ascii="Times New Roman" w:hAnsi="Times New Roman" w:cs="Times New Roman"/>
              </w:rPr>
              <w:t>:</w:t>
            </w:r>
          </w:p>
        </w:tc>
        <w:tc>
          <w:tcPr>
            <w:tcW w:w="2796" w:type="pct"/>
            <w:shd w:val="clear" w:color="auto" w:fill="C6D9F1"/>
            <w:tcMar>
              <w:top w:w="0" w:type="dxa"/>
              <w:left w:w="108" w:type="dxa"/>
              <w:bottom w:w="0" w:type="dxa"/>
              <w:right w:w="108" w:type="dxa"/>
            </w:tcMar>
          </w:tcPr>
          <w:p w:rsidR="002D6E25" w:rsidRPr="00605693" w:rsidRDefault="00605693" w:rsidP="00605693">
            <w:pPr>
              <w:spacing w:before="60" w:after="60" w:line="240" w:lineRule="auto"/>
              <w:jc w:val="both"/>
              <w:rPr>
                <w:rFonts w:ascii="Times New Roman" w:hAnsi="Times New Roman" w:cs="Times New Roman"/>
                <w:sz w:val="24"/>
                <w:szCs w:val="24"/>
              </w:rPr>
            </w:pPr>
            <w:r w:rsidRPr="00F32597">
              <w:rPr>
                <w:rFonts w:ascii="Times New Roman" w:hAnsi="Times New Roman" w:cs="Times New Roman"/>
                <w:sz w:val="24"/>
                <w:szCs w:val="24"/>
              </w:rPr>
              <w:t xml:space="preserve">JUP </w:t>
            </w:r>
            <w:proofErr w:type="spellStart"/>
            <w:r w:rsidRPr="00F32597">
              <w:rPr>
                <w:rFonts w:ascii="Times New Roman" w:hAnsi="Times New Roman" w:cs="Times New Roman"/>
                <w:sz w:val="24"/>
                <w:szCs w:val="24"/>
              </w:rPr>
              <w:t>Istraživanje</w:t>
            </w:r>
            <w:proofErr w:type="spellEnd"/>
            <w:r w:rsidRPr="00F32597">
              <w:rPr>
                <w:rFonts w:ascii="Times New Roman" w:hAnsi="Times New Roman" w:cs="Times New Roman"/>
                <w:sz w:val="24"/>
                <w:szCs w:val="24"/>
              </w:rPr>
              <w:t xml:space="preserve"> </w:t>
            </w:r>
            <w:proofErr w:type="spellStart"/>
            <w:r w:rsidRPr="00F32597">
              <w:rPr>
                <w:rFonts w:ascii="Times New Roman" w:hAnsi="Times New Roman" w:cs="Times New Roman"/>
                <w:sz w:val="24"/>
                <w:szCs w:val="24"/>
              </w:rPr>
              <w:t>i</w:t>
            </w:r>
            <w:proofErr w:type="spellEnd"/>
            <w:r w:rsidRPr="00F32597">
              <w:rPr>
                <w:rFonts w:ascii="Times New Roman" w:hAnsi="Times New Roman" w:cs="Times New Roman"/>
                <w:sz w:val="24"/>
                <w:szCs w:val="24"/>
              </w:rPr>
              <w:t xml:space="preserve"> </w:t>
            </w:r>
            <w:proofErr w:type="spellStart"/>
            <w:r w:rsidRPr="00F32597">
              <w:rPr>
                <w:rFonts w:ascii="Times New Roman" w:hAnsi="Times New Roman" w:cs="Times New Roman"/>
                <w:sz w:val="24"/>
                <w:szCs w:val="24"/>
              </w:rPr>
              <w:t>razvoj</w:t>
            </w:r>
            <w:proofErr w:type="spellEnd"/>
            <w:r w:rsidRPr="00F32597">
              <w:rPr>
                <w:rFonts w:ascii="Times New Roman" w:hAnsi="Times New Roman" w:cs="Times New Roman"/>
                <w:sz w:val="24"/>
                <w:szCs w:val="24"/>
              </w:rPr>
              <w:t xml:space="preserve"> </w:t>
            </w:r>
            <w:proofErr w:type="spellStart"/>
            <w:r w:rsidRPr="00F32597">
              <w:rPr>
                <w:rFonts w:ascii="Times New Roman" w:hAnsi="Times New Roman" w:cs="Times New Roman"/>
                <w:sz w:val="24"/>
                <w:szCs w:val="24"/>
              </w:rPr>
              <w:t>d.o.o</w:t>
            </w:r>
            <w:proofErr w:type="spellEnd"/>
            <w:r w:rsidRPr="00F32597">
              <w:rPr>
                <w:rFonts w:ascii="Times New Roman" w:hAnsi="Times New Roman" w:cs="Times New Roman"/>
                <w:sz w:val="24"/>
                <w:szCs w:val="24"/>
              </w:rPr>
              <w:t>. Beograd</w:t>
            </w:r>
          </w:p>
        </w:tc>
      </w:tr>
      <w:tr w:rsidR="002D6E25" w:rsidRPr="000A45B1" w:rsidTr="009C6217">
        <w:trPr>
          <w:trHeight w:val="232"/>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822D72" w:rsidRPr="000A45B1" w:rsidTr="00EB693E">
        <w:trPr>
          <w:trHeight w:val="363"/>
        </w:trPr>
        <w:tc>
          <w:tcPr>
            <w:tcW w:w="383" w:type="pct"/>
            <w:shd w:val="clear" w:color="auto" w:fill="FFFFFF"/>
            <w:tcMar>
              <w:top w:w="0" w:type="dxa"/>
              <w:left w:w="108" w:type="dxa"/>
              <w:bottom w:w="0" w:type="dxa"/>
              <w:right w:w="108" w:type="dxa"/>
            </w:tcMar>
          </w:tcPr>
          <w:p w:rsidR="00822D72" w:rsidRPr="000A45B1" w:rsidRDefault="00822D7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822D72" w:rsidRPr="000A45B1" w:rsidRDefault="00822D72" w:rsidP="00A90FD2">
            <w:pPr>
              <w:spacing w:before="60" w:after="60" w:line="240" w:lineRule="auto"/>
              <w:rPr>
                <w:rFonts w:ascii="Times New Roman" w:hAnsi="Times New Roman" w:cs="Times New Roman"/>
              </w:rPr>
            </w:pPr>
            <w:r w:rsidRPr="000A45B1">
              <w:rPr>
                <w:rFonts w:ascii="Times New Roman" w:hAnsi="Times New Roman" w:cs="Times New Roman"/>
              </w:rPr>
              <w:t>Address of the Contracting Authority:</w:t>
            </w:r>
          </w:p>
        </w:tc>
        <w:tc>
          <w:tcPr>
            <w:tcW w:w="2796" w:type="pct"/>
            <w:shd w:val="clear" w:color="auto" w:fill="C6D9F1"/>
            <w:tcMar>
              <w:top w:w="0" w:type="dxa"/>
              <w:left w:w="108" w:type="dxa"/>
              <w:bottom w:w="0" w:type="dxa"/>
              <w:right w:w="108" w:type="dxa"/>
            </w:tcMar>
          </w:tcPr>
          <w:p w:rsidR="00822D72" w:rsidRPr="000A45B1" w:rsidRDefault="00822D72" w:rsidP="007C65C1">
            <w:pPr>
              <w:spacing w:before="60" w:after="60" w:line="240" w:lineRule="auto"/>
              <w:rPr>
                <w:rFonts w:ascii="Times New Roman" w:hAnsi="Times New Roman" w:cs="Times New Roman"/>
              </w:rPr>
            </w:pPr>
            <w:r w:rsidRPr="000A45B1">
              <w:rPr>
                <w:rFonts w:ascii="Times New Roman" w:hAnsi="Times New Roman" w:cs="Times New Roman"/>
              </w:rPr>
              <w:t xml:space="preserve">22-26 </w:t>
            </w:r>
            <w:proofErr w:type="spellStart"/>
            <w:r w:rsidRPr="000A45B1">
              <w:rPr>
                <w:rFonts w:ascii="Times New Roman" w:hAnsi="Times New Roman" w:cs="Times New Roman"/>
              </w:rPr>
              <w:t>Nemanjina</w:t>
            </w:r>
            <w:proofErr w:type="spellEnd"/>
            <w:r w:rsidRPr="000A45B1">
              <w:rPr>
                <w:rFonts w:ascii="Times New Roman" w:hAnsi="Times New Roman" w:cs="Times New Roman"/>
              </w:rPr>
              <w:t xml:space="preserve">, 11000 </w:t>
            </w:r>
            <w:r w:rsidR="007C65C1" w:rsidRPr="000A45B1">
              <w:rPr>
                <w:rFonts w:ascii="Times New Roman" w:hAnsi="Times New Roman" w:cs="Times New Roman"/>
              </w:rPr>
              <w:t>Belgrade</w:t>
            </w:r>
            <w:r w:rsidRPr="000A45B1">
              <w:rPr>
                <w:rFonts w:ascii="Times New Roman" w:hAnsi="Times New Roman" w:cs="Times New Roman"/>
              </w:rPr>
              <w:t xml:space="preserve">, </w:t>
            </w:r>
            <w:r w:rsidR="00605693">
              <w:rPr>
                <w:rFonts w:ascii="Times New Roman" w:hAnsi="Times New Roman" w:cs="Times New Roman"/>
              </w:rPr>
              <w:t xml:space="preserve">Republic of </w:t>
            </w:r>
            <w:r w:rsidR="007C65C1" w:rsidRPr="000A45B1">
              <w:rPr>
                <w:rFonts w:ascii="Times New Roman" w:hAnsi="Times New Roman" w:cs="Times New Roman"/>
              </w:rPr>
              <w:t>Serbia</w:t>
            </w:r>
          </w:p>
        </w:tc>
      </w:tr>
      <w:tr w:rsidR="002D6E25" w:rsidRPr="000A45B1" w:rsidTr="009C6217">
        <w:trPr>
          <w:trHeight w:val="188"/>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822D72" w:rsidRPr="000A45B1" w:rsidTr="00EB693E">
        <w:trPr>
          <w:trHeight w:val="507"/>
        </w:trPr>
        <w:tc>
          <w:tcPr>
            <w:tcW w:w="383" w:type="pct"/>
            <w:shd w:val="clear" w:color="auto" w:fill="FFFFFF"/>
            <w:tcMar>
              <w:top w:w="0" w:type="dxa"/>
              <w:left w:w="108" w:type="dxa"/>
              <w:bottom w:w="0" w:type="dxa"/>
              <w:right w:w="108" w:type="dxa"/>
            </w:tcMar>
          </w:tcPr>
          <w:p w:rsidR="00822D72" w:rsidRPr="000A45B1" w:rsidRDefault="00822D7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822D72" w:rsidRPr="000A45B1" w:rsidRDefault="00822D72" w:rsidP="00A90FD2">
            <w:pPr>
              <w:spacing w:before="60" w:after="60" w:line="240" w:lineRule="auto"/>
              <w:rPr>
                <w:rFonts w:ascii="Times New Roman" w:hAnsi="Times New Roman" w:cs="Times New Roman"/>
              </w:rPr>
            </w:pPr>
            <w:r w:rsidRPr="000A45B1">
              <w:rPr>
                <w:rFonts w:ascii="Times New Roman" w:hAnsi="Times New Roman" w:cs="Times New Roman"/>
              </w:rPr>
              <w:t>Web address of the Contracting Authority:</w:t>
            </w:r>
          </w:p>
        </w:tc>
        <w:tc>
          <w:tcPr>
            <w:tcW w:w="2796" w:type="pct"/>
            <w:shd w:val="clear" w:color="auto" w:fill="C6D9F1"/>
            <w:tcMar>
              <w:top w:w="0" w:type="dxa"/>
              <w:left w:w="108" w:type="dxa"/>
              <w:bottom w:w="0" w:type="dxa"/>
              <w:right w:w="108" w:type="dxa"/>
            </w:tcMar>
          </w:tcPr>
          <w:p w:rsidR="00822D72" w:rsidRPr="000A45B1" w:rsidRDefault="00F03715" w:rsidP="009C6217">
            <w:pPr>
              <w:spacing w:before="60" w:after="60" w:line="240" w:lineRule="auto"/>
              <w:rPr>
                <w:rFonts w:ascii="Times New Roman" w:hAnsi="Times New Roman" w:cs="Times New Roman"/>
              </w:rPr>
            </w:pPr>
            <w:hyperlink r:id="rId8" w:history="1">
              <w:r w:rsidR="00822D72" w:rsidRPr="000A45B1">
                <w:rPr>
                  <w:rStyle w:val="Hyperlink"/>
                  <w:rFonts w:ascii="Times New Roman" w:hAnsi="Times New Roman" w:cs="Times New Roman"/>
                </w:rPr>
                <w:t>www.piu.rs</w:t>
              </w:r>
            </w:hyperlink>
          </w:p>
        </w:tc>
      </w:tr>
      <w:tr w:rsidR="002D6E25" w:rsidRPr="000A45B1" w:rsidTr="009C6217">
        <w:trPr>
          <w:trHeight w:val="130"/>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pStyle w:val="ListParagraph"/>
              <w:spacing w:before="60" w:after="60" w:line="240" w:lineRule="auto"/>
              <w:rPr>
                <w:rFonts w:ascii="Times New Roman" w:hAnsi="Times New Roman" w:cs="Times New Roman"/>
              </w:rPr>
            </w:pPr>
          </w:p>
        </w:tc>
      </w:tr>
      <w:tr w:rsidR="002D6E25" w:rsidRPr="000A45B1" w:rsidTr="00421C6D">
        <w:trPr>
          <w:trHeight w:val="614"/>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0A45B1" w:rsidRDefault="00822D72" w:rsidP="008D3F78">
            <w:pPr>
              <w:spacing w:before="60" w:after="60" w:line="240" w:lineRule="auto"/>
              <w:rPr>
                <w:rFonts w:ascii="Times New Roman" w:hAnsi="Times New Roman" w:cs="Times New Roman"/>
              </w:rPr>
            </w:pPr>
            <w:r w:rsidRPr="000A45B1">
              <w:rPr>
                <w:rFonts w:ascii="Times New Roman" w:hAnsi="Times New Roman" w:cs="Times New Roman"/>
              </w:rPr>
              <w:t>Type of procurement procedure:</w:t>
            </w:r>
          </w:p>
        </w:tc>
        <w:tc>
          <w:tcPr>
            <w:tcW w:w="2796" w:type="pct"/>
            <w:shd w:val="clear" w:color="auto" w:fill="C6D9F1"/>
            <w:tcMar>
              <w:top w:w="0" w:type="dxa"/>
              <w:left w:w="108" w:type="dxa"/>
              <w:bottom w:w="0" w:type="dxa"/>
              <w:right w:w="108" w:type="dxa"/>
            </w:tcMar>
          </w:tcPr>
          <w:p w:rsidR="000E259C" w:rsidRPr="000A45B1" w:rsidRDefault="007C65C1" w:rsidP="007C65C1">
            <w:pPr>
              <w:tabs>
                <w:tab w:val="clear" w:pos="720"/>
                <w:tab w:val="left" w:pos="360"/>
              </w:tabs>
              <w:spacing w:before="60" w:after="60" w:line="240" w:lineRule="auto"/>
              <w:rPr>
                <w:rFonts w:ascii="Times New Roman" w:hAnsi="Times New Roman" w:cs="Times New Roman"/>
              </w:rPr>
            </w:pPr>
            <w:r w:rsidRPr="000A45B1">
              <w:rPr>
                <w:rFonts w:ascii="Times New Roman" w:hAnsi="Times New Roman" w:cs="Times New Roman"/>
              </w:rPr>
              <w:t>International open procedure</w:t>
            </w:r>
          </w:p>
        </w:tc>
      </w:tr>
      <w:tr w:rsidR="002D6E25" w:rsidRPr="000A45B1" w:rsidTr="009C6217">
        <w:trPr>
          <w:trHeight w:val="216"/>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pStyle w:val="ListParagraph"/>
              <w:spacing w:before="60" w:after="60" w:line="240" w:lineRule="auto"/>
              <w:rPr>
                <w:rFonts w:ascii="Times New Roman" w:hAnsi="Times New Roman" w:cs="Times New Roman"/>
              </w:rPr>
            </w:pPr>
          </w:p>
        </w:tc>
      </w:tr>
      <w:tr w:rsidR="002D6E25" w:rsidRPr="000A45B1" w:rsidTr="00421C6D">
        <w:trPr>
          <w:trHeight w:val="614"/>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0A45B1" w:rsidRDefault="00822D72" w:rsidP="009C6217">
            <w:pPr>
              <w:spacing w:before="60" w:after="60" w:line="240" w:lineRule="auto"/>
              <w:rPr>
                <w:rFonts w:ascii="Times New Roman" w:hAnsi="Times New Roman" w:cs="Times New Roman"/>
              </w:rPr>
            </w:pPr>
            <w:r w:rsidRPr="000A45B1">
              <w:rPr>
                <w:rFonts w:ascii="Times New Roman" w:hAnsi="Times New Roman" w:cs="Times New Roman"/>
              </w:rPr>
              <w:t>Type of contract</w:t>
            </w:r>
            <w:r w:rsidR="004511C2" w:rsidRPr="000A45B1">
              <w:rPr>
                <w:rFonts w:ascii="Times New Roman" w:hAnsi="Times New Roman" w:cs="Times New Roman"/>
              </w:rPr>
              <w:t>:</w:t>
            </w:r>
          </w:p>
        </w:tc>
        <w:tc>
          <w:tcPr>
            <w:tcW w:w="2796" w:type="pct"/>
            <w:shd w:val="clear" w:color="auto" w:fill="C6D9F1"/>
            <w:tcMar>
              <w:top w:w="0" w:type="dxa"/>
              <w:left w:w="108" w:type="dxa"/>
              <w:bottom w:w="0" w:type="dxa"/>
              <w:right w:w="108" w:type="dxa"/>
            </w:tcMar>
          </w:tcPr>
          <w:p w:rsidR="002D6E25" w:rsidRPr="000A45B1" w:rsidRDefault="007C65C1" w:rsidP="00F42B00">
            <w:pPr>
              <w:tabs>
                <w:tab w:val="clear" w:pos="720"/>
                <w:tab w:val="left" w:pos="295"/>
              </w:tabs>
              <w:spacing w:before="60" w:after="60" w:line="240" w:lineRule="auto"/>
              <w:rPr>
                <w:rFonts w:ascii="Times New Roman" w:hAnsi="Times New Roman" w:cs="Times New Roman"/>
              </w:rPr>
            </w:pPr>
            <w:r w:rsidRPr="000A45B1">
              <w:rPr>
                <w:rFonts w:ascii="Times New Roman" w:hAnsi="Times New Roman" w:cs="Times New Roman"/>
              </w:rPr>
              <w:t>Service Contract</w:t>
            </w:r>
          </w:p>
        </w:tc>
      </w:tr>
      <w:tr w:rsidR="002D6E25" w:rsidRPr="000A45B1" w:rsidTr="009C6217">
        <w:tc>
          <w:tcPr>
            <w:tcW w:w="383" w:type="pct"/>
            <w:shd w:val="clear" w:color="auto" w:fill="FFFFFF"/>
            <w:tcMar>
              <w:top w:w="0" w:type="dxa"/>
              <w:left w:w="108" w:type="dxa"/>
              <w:bottom w:w="0" w:type="dxa"/>
              <w:right w:w="108" w:type="dxa"/>
            </w:tcMar>
          </w:tcPr>
          <w:p w:rsidR="002D6E25" w:rsidRPr="000A45B1"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324D3" w:rsidRPr="000A45B1" w:rsidRDefault="00525CE4" w:rsidP="00A92081">
            <w:pPr>
              <w:spacing w:before="60" w:after="60" w:line="240" w:lineRule="auto"/>
              <w:jc w:val="both"/>
              <w:rPr>
                <w:rFonts w:ascii="Times New Roman" w:hAnsi="Times New Roman" w:cs="Times New Roman"/>
              </w:rPr>
            </w:pPr>
            <w:r w:rsidRPr="000A45B1">
              <w:rPr>
                <w:rFonts w:ascii="Times New Roman" w:hAnsi="Times New Roman" w:cs="Times New Roman"/>
              </w:rPr>
              <w:t xml:space="preserve">In the agreement on implementation of CHP in the Republic of Serbia, construction of </w:t>
            </w:r>
            <w:r w:rsidR="005A5742">
              <w:rPr>
                <w:rFonts w:ascii="Times New Roman" w:hAnsi="Times New Roman" w:cs="Times New Roman"/>
              </w:rPr>
              <w:t>multi-</w:t>
            </w:r>
            <w:r w:rsidRPr="000A45B1">
              <w:rPr>
                <w:rFonts w:ascii="Times New Roman" w:hAnsi="Times New Roman" w:cs="Times New Roman"/>
              </w:rPr>
              <w:t>apartment buildings has been stipulated as one of modalities (</w:t>
            </w:r>
            <w:r w:rsidR="00F5074E" w:rsidRPr="000A45B1">
              <w:rPr>
                <w:rFonts w:ascii="Times New Roman" w:hAnsi="Times New Roman" w:cs="Times New Roman"/>
              </w:rPr>
              <w:t>A</w:t>
            </w:r>
            <w:r w:rsidR="00F27E4F" w:rsidRPr="000A45B1">
              <w:rPr>
                <w:rFonts w:ascii="Times New Roman" w:hAnsi="Times New Roman" w:cs="Times New Roman"/>
              </w:rPr>
              <w:t>1:</w:t>
            </w:r>
            <w:r w:rsidR="002324D3" w:rsidRPr="000A45B1">
              <w:rPr>
                <w:rFonts w:ascii="Times New Roman" w:hAnsi="Times New Roman" w:cs="Times New Roman"/>
              </w:rPr>
              <w:t xml:space="preserve"> </w:t>
            </w:r>
            <w:r w:rsidRPr="000A45B1">
              <w:rPr>
                <w:rFonts w:ascii="Times New Roman" w:hAnsi="Times New Roman" w:cs="Times New Roman"/>
              </w:rPr>
              <w:t>Apartment buildings</w:t>
            </w:r>
            <w:r w:rsidR="002324D3" w:rsidRPr="000A45B1">
              <w:rPr>
                <w:rFonts w:ascii="Times New Roman" w:hAnsi="Times New Roman" w:cs="Times New Roman"/>
              </w:rPr>
              <w:t>)</w:t>
            </w:r>
            <w:r w:rsidRPr="000A45B1">
              <w:rPr>
                <w:rFonts w:ascii="Times New Roman" w:hAnsi="Times New Roman" w:cs="Times New Roman"/>
              </w:rPr>
              <w:t xml:space="preserve"> to be implemented through several implementation phases</w:t>
            </w:r>
            <w:r w:rsidR="002324D3" w:rsidRPr="000A45B1">
              <w:rPr>
                <w:rFonts w:ascii="Times New Roman" w:hAnsi="Times New Roman" w:cs="Times New Roman"/>
              </w:rPr>
              <w:t xml:space="preserve">. </w:t>
            </w:r>
          </w:p>
          <w:p w:rsidR="00EC0E14" w:rsidRPr="000A45B1" w:rsidRDefault="00EC0E14" w:rsidP="00A92081">
            <w:pPr>
              <w:spacing w:before="60" w:after="60" w:line="240" w:lineRule="auto"/>
              <w:jc w:val="both"/>
              <w:rPr>
                <w:rFonts w:ascii="Times New Roman" w:hAnsi="Times New Roman" w:cs="Times New Roman"/>
              </w:rPr>
            </w:pPr>
          </w:p>
          <w:p w:rsidR="002324D3" w:rsidRPr="000A45B1" w:rsidRDefault="00525CE4" w:rsidP="00A92081">
            <w:pPr>
              <w:spacing w:before="60" w:after="60" w:line="240" w:lineRule="auto"/>
              <w:jc w:val="both"/>
              <w:rPr>
                <w:rFonts w:ascii="Times New Roman" w:hAnsi="Times New Roman" w:cs="Times New Roman"/>
              </w:rPr>
            </w:pPr>
            <w:r w:rsidRPr="000A45B1">
              <w:rPr>
                <w:rFonts w:ascii="Times New Roman" w:hAnsi="Times New Roman" w:cs="Times New Roman"/>
              </w:rPr>
              <w:t xml:space="preserve">The aforesaid housing modality has been defined as collective housing mode in buildings and new </w:t>
            </w:r>
            <w:r w:rsidRPr="000A45B1">
              <w:rPr>
                <w:rFonts w:ascii="Times New Roman" w:hAnsi="Times New Roman" w:cs="Times New Roman"/>
              </w:rPr>
              <w:lastRenderedPageBreak/>
              <w:t xml:space="preserve">locations, and it pertains to refugees who want to integrate in local </w:t>
            </w:r>
            <w:r w:rsidR="000A45B1" w:rsidRPr="000A45B1">
              <w:rPr>
                <w:rFonts w:ascii="Times New Roman" w:hAnsi="Times New Roman" w:cs="Times New Roman"/>
              </w:rPr>
              <w:t>communities</w:t>
            </w:r>
            <w:r w:rsidRPr="000A45B1">
              <w:rPr>
                <w:rFonts w:ascii="Times New Roman" w:hAnsi="Times New Roman" w:cs="Times New Roman"/>
              </w:rPr>
              <w:t xml:space="preserve"> as beneficiaries</w:t>
            </w:r>
            <w:r w:rsidR="002324D3" w:rsidRPr="000A45B1">
              <w:rPr>
                <w:rFonts w:ascii="Times New Roman" w:hAnsi="Times New Roman" w:cs="Times New Roman"/>
              </w:rPr>
              <w:t>.</w:t>
            </w:r>
          </w:p>
          <w:p w:rsidR="00EC0E14" w:rsidRPr="000A45B1" w:rsidRDefault="00525CE4" w:rsidP="00A92081">
            <w:pPr>
              <w:spacing w:before="60" w:after="60" w:line="240" w:lineRule="auto"/>
              <w:jc w:val="both"/>
              <w:rPr>
                <w:rFonts w:ascii="Times New Roman" w:hAnsi="Times New Roman" w:cs="Times New Roman"/>
              </w:rPr>
            </w:pPr>
            <w:r w:rsidRPr="000A45B1">
              <w:rPr>
                <w:rFonts w:ascii="Times New Roman" w:hAnsi="Times New Roman" w:cs="Times New Roman"/>
              </w:rPr>
              <w:t xml:space="preserve">The scope of this project implies drafting of documentation for 25 (twenty-five) apartment buildings located in the following </w:t>
            </w:r>
            <w:r w:rsidR="000A45B1" w:rsidRPr="000A45B1">
              <w:rPr>
                <w:rFonts w:ascii="Times New Roman" w:hAnsi="Times New Roman" w:cs="Times New Roman"/>
              </w:rPr>
              <w:t>towns</w:t>
            </w:r>
            <w:r w:rsidRPr="000A45B1">
              <w:rPr>
                <w:rFonts w:ascii="Times New Roman" w:hAnsi="Times New Roman" w:cs="Times New Roman"/>
              </w:rPr>
              <w:t xml:space="preserve"> and cities</w:t>
            </w:r>
            <w:r w:rsidR="002324D3" w:rsidRPr="000A45B1">
              <w:rPr>
                <w:rFonts w:ascii="Times New Roman" w:hAnsi="Times New Roman" w:cs="Times New Roman"/>
              </w:rPr>
              <w:t xml:space="preserve">: </w:t>
            </w:r>
            <w:proofErr w:type="spellStart"/>
            <w:r w:rsidR="00EC0E14" w:rsidRPr="000A45B1">
              <w:rPr>
                <w:rFonts w:ascii="Times New Roman" w:hAnsi="Times New Roman" w:cs="Times New Roman"/>
              </w:rPr>
              <w:t>Požarevac</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Malo</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Crniće</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Žab</w:t>
            </w:r>
            <w:r w:rsidR="00526191" w:rsidRPr="000A45B1">
              <w:rPr>
                <w:rFonts w:ascii="Times New Roman" w:hAnsi="Times New Roman" w:cs="Times New Roman"/>
              </w:rPr>
              <w:t>ari</w:t>
            </w:r>
            <w:proofErr w:type="spellEnd"/>
            <w:r w:rsidR="00526191" w:rsidRPr="000A45B1">
              <w:rPr>
                <w:rFonts w:ascii="Times New Roman" w:hAnsi="Times New Roman" w:cs="Times New Roman"/>
              </w:rPr>
              <w:t xml:space="preserve">, </w:t>
            </w:r>
            <w:proofErr w:type="spellStart"/>
            <w:r w:rsidR="00526191" w:rsidRPr="000A45B1">
              <w:rPr>
                <w:rFonts w:ascii="Times New Roman" w:hAnsi="Times New Roman" w:cs="Times New Roman"/>
              </w:rPr>
              <w:t>Svilajnac</w:t>
            </w:r>
            <w:proofErr w:type="spellEnd"/>
            <w:r w:rsidR="00526191" w:rsidRPr="000A45B1">
              <w:rPr>
                <w:rFonts w:ascii="Times New Roman" w:hAnsi="Times New Roman" w:cs="Times New Roman"/>
              </w:rPr>
              <w:t xml:space="preserve">, </w:t>
            </w:r>
            <w:proofErr w:type="spellStart"/>
            <w:r w:rsidR="00526191" w:rsidRPr="000A45B1">
              <w:rPr>
                <w:rFonts w:ascii="Times New Roman" w:hAnsi="Times New Roman" w:cs="Times New Roman"/>
              </w:rPr>
              <w:t>Kruševac</w:t>
            </w:r>
            <w:proofErr w:type="spellEnd"/>
            <w:r w:rsidR="00526191" w:rsidRPr="000A45B1">
              <w:rPr>
                <w:rFonts w:ascii="Times New Roman" w:hAnsi="Times New Roman" w:cs="Times New Roman"/>
              </w:rPr>
              <w:t xml:space="preserve">, </w:t>
            </w:r>
            <w:proofErr w:type="spellStart"/>
            <w:r w:rsidR="00526191" w:rsidRPr="000A45B1">
              <w:rPr>
                <w:rFonts w:ascii="Times New Roman" w:hAnsi="Times New Roman" w:cs="Times New Roman"/>
              </w:rPr>
              <w:t>Niš</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Loznica</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Krupanj</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Ub</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Valjevo</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Mionica</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Užice</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Lučani</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Čajetina</w:t>
            </w:r>
            <w:proofErr w:type="spellEnd"/>
            <w:r w:rsidR="00EC0E14" w:rsidRPr="000A45B1">
              <w:rPr>
                <w:rFonts w:ascii="Times New Roman" w:hAnsi="Times New Roman" w:cs="Times New Roman"/>
              </w:rPr>
              <w:t xml:space="preserve">, Novi </w:t>
            </w:r>
            <w:proofErr w:type="spellStart"/>
            <w:r w:rsidR="00EC0E14" w:rsidRPr="000A45B1">
              <w:rPr>
                <w:rFonts w:ascii="Times New Roman" w:hAnsi="Times New Roman" w:cs="Times New Roman"/>
              </w:rPr>
              <w:t>Pazar</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Kikinda</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Bački</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Petrovac</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Temerin</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Zrenjanin</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Bačka</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Palanka</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Sremska</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Mitrovica</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Irig</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Sremski</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Karlovci</w:t>
            </w:r>
            <w:proofErr w:type="spellEnd"/>
            <w:r w:rsidR="00EC0E14" w:rsidRPr="000A45B1">
              <w:rPr>
                <w:rFonts w:ascii="Times New Roman" w:hAnsi="Times New Roman" w:cs="Times New Roman"/>
              </w:rPr>
              <w:t xml:space="preserve">, </w:t>
            </w:r>
            <w:proofErr w:type="spellStart"/>
            <w:r w:rsidR="00EC0E14" w:rsidRPr="000A45B1">
              <w:rPr>
                <w:rFonts w:ascii="Times New Roman" w:hAnsi="Times New Roman" w:cs="Times New Roman"/>
              </w:rPr>
              <w:t>Pančevo</w:t>
            </w:r>
            <w:proofErr w:type="spellEnd"/>
            <w:r w:rsidR="00EC0E14" w:rsidRPr="000A45B1">
              <w:rPr>
                <w:rFonts w:ascii="Times New Roman" w:hAnsi="Times New Roman" w:cs="Times New Roman"/>
              </w:rPr>
              <w:t>, Novi Sad.</w:t>
            </w:r>
          </w:p>
          <w:p w:rsidR="00083F35" w:rsidRPr="000A45B1" w:rsidRDefault="00083F35" w:rsidP="00EC0E14">
            <w:pPr>
              <w:spacing w:before="60" w:after="60" w:line="240" w:lineRule="auto"/>
              <w:jc w:val="both"/>
              <w:rPr>
                <w:rFonts w:ascii="Times New Roman" w:hAnsi="Times New Roman" w:cs="Times New Roman"/>
              </w:rPr>
            </w:pPr>
          </w:p>
        </w:tc>
      </w:tr>
      <w:tr w:rsidR="00525CE4" w:rsidRPr="000A45B1" w:rsidTr="00421C6D">
        <w:trPr>
          <w:trHeight w:val="745"/>
        </w:trPr>
        <w:tc>
          <w:tcPr>
            <w:tcW w:w="383" w:type="pct"/>
            <w:shd w:val="clear" w:color="auto" w:fill="FFFFFF"/>
            <w:tcMar>
              <w:top w:w="0" w:type="dxa"/>
              <w:left w:w="108" w:type="dxa"/>
              <w:bottom w:w="0" w:type="dxa"/>
              <w:right w:w="108" w:type="dxa"/>
            </w:tcMar>
          </w:tcPr>
          <w:p w:rsidR="00525CE4" w:rsidRPr="000A45B1" w:rsidRDefault="00525CE4"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525CE4" w:rsidRPr="000A45B1" w:rsidRDefault="00525CE4" w:rsidP="00A90FD2">
            <w:pPr>
              <w:spacing w:before="60" w:after="60" w:line="240" w:lineRule="auto"/>
              <w:rPr>
                <w:rFonts w:ascii="Times New Roman" w:hAnsi="Times New Roman" w:cs="Times New Roman"/>
              </w:rPr>
            </w:pPr>
            <w:r w:rsidRPr="000A45B1">
              <w:rPr>
                <w:rFonts w:ascii="Times New Roman" w:hAnsi="Times New Roman" w:cs="Times New Roman"/>
              </w:rPr>
              <w:t>Number of lots, if contract is divided in lots:</w:t>
            </w:r>
          </w:p>
        </w:tc>
        <w:tc>
          <w:tcPr>
            <w:tcW w:w="2796" w:type="pct"/>
            <w:shd w:val="clear" w:color="auto" w:fill="C6D9F1"/>
            <w:tcMar>
              <w:top w:w="0" w:type="dxa"/>
              <w:left w:w="108" w:type="dxa"/>
              <w:bottom w:w="0" w:type="dxa"/>
              <w:right w:w="108" w:type="dxa"/>
            </w:tcMar>
          </w:tcPr>
          <w:p w:rsidR="00525CE4" w:rsidRPr="000A45B1" w:rsidRDefault="00525CE4" w:rsidP="00525CE4">
            <w:pPr>
              <w:spacing w:before="60" w:after="60" w:line="240" w:lineRule="auto"/>
              <w:rPr>
                <w:rFonts w:ascii="Times New Roman" w:hAnsi="Times New Roman" w:cs="Times New Roman"/>
              </w:rPr>
            </w:pPr>
            <w:r w:rsidRPr="000A45B1">
              <w:rPr>
                <w:rFonts w:ascii="Times New Roman" w:hAnsi="Times New Roman" w:cs="Times New Roman"/>
              </w:rPr>
              <w:t>4 (four) lots</w:t>
            </w:r>
          </w:p>
        </w:tc>
      </w:tr>
      <w:tr w:rsidR="007E3A0A" w:rsidRPr="000A45B1" w:rsidTr="00A40988">
        <w:trPr>
          <w:trHeight w:val="745"/>
        </w:trPr>
        <w:tc>
          <w:tcPr>
            <w:tcW w:w="383" w:type="pct"/>
            <w:shd w:val="clear" w:color="auto" w:fill="FFFFFF"/>
            <w:tcMar>
              <w:top w:w="0" w:type="dxa"/>
              <w:left w:w="108" w:type="dxa"/>
              <w:bottom w:w="0" w:type="dxa"/>
              <w:right w:w="108" w:type="dxa"/>
            </w:tcMar>
          </w:tcPr>
          <w:p w:rsidR="007E3A0A" w:rsidRPr="000A45B1"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7E3A0A" w:rsidRPr="000A45B1" w:rsidRDefault="00525CE4" w:rsidP="00525CE4">
            <w:pPr>
              <w:spacing w:before="60" w:after="60" w:line="240" w:lineRule="auto"/>
              <w:rPr>
                <w:rFonts w:ascii="Times New Roman" w:hAnsi="Times New Roman" w:cs="Times New Roman"/>
              </w:rPr>
            </w:pPr>
            <w:r w:rsidRPr="000A45B1">
              <w:rPr>
                <w:rFonts w:ascii="Times New Roman" w:hAnsi="Times New Roman" w:cs="Times New Roman"/>
              </w:rPr>
              <w:t>Maximal contract budget</w:t>
            </w:r>
            <w:r w:rsidR="007E3A0A" w:rsidRPr="000A45B1">
              <w:rPr>
                <w:rFonts w:ascii="Times New Roman" w:hAnsi="Times New Roman" w:cs="Times New Roman"/>
              </w:rPr>
              <w:t>:</w:t>
            </w:r>
          </w:p>
        </w:tc>
        <w:tc>
          <w:tcPr>
            <w:tcW w:w="2796" w:type="pct"/>
            <w:shd w:val="clear" w:color="auto" w:fill="C6D9F1"/>
            <w:tcMar>
              <w:top w:w="0" w:type="dxa"/>
              <w:left w:w="108" w:type="dxa"/>
              <w:bottom w:w="0" w:type="dxa"/>
              <w:right w:w="108" w:type="dxa"/>
            </w:tcMar>
          </w:tcPr>
          <w:p w:rsidR="007E3A0A" w:rsidRPr="000A45B1" w:rsidRDefault="00525CE4" w:rsidP="00A40988">
            <w:pPr>
              <w:spacing w:before="60" w:after="60" w:line="240" w:lineRule="auto"/>
              <w:rPr>
                <w:rFonts w:ascii="Times New Roman" w:hAnsi="Times New Roman" w:cs="Times New Roman"/>
                <w:color w:val="auto"/>
              </w:rPr>
            </w:pPr>
            <w:r w:rsidRPr="000A45B1">
              <w:rPr>
                <w:rFonts w:ascii="Times New Roman" w:hAnsi="Times New Roman" w:cs="Times New Roman"/>
                <w:color w:val="auto"/>
              </w:rPr>
              <w:t>Lot</w:t>
            </w:r>
            <w:r w:rsidR="00185968" w:rsidRPr="000A45B1">
              <w:rPr>
                <w:rFonts w:ascii="Times New Roman" w:hAnsi="Times New Roman" w:cs="Times New Roman"/>
                <w:color w:val="auto"/>
              </w:rPr>
              <w:t xml:space="preserve"> 1: </w:t>
            </w:r>
            <w:r w:rsidR="00EA02F9" w:rsidRPr="000A45B1">
              <w:rPr>
                <w:rFonts w:ascii="Times New Roman" w:hAnsi="Times New Roman" w:cs="Times New Roman"/>
                <w:color w:val="auto"/>
              </w:rPr>
              <w:t>111</w:t>
            </w:r>
            <w:r w:rsidRPr="000A45B1">
              <w:rPr>
                <w:rFonts w:ascii="Times New Roman" w:hAnsi="Times New Roman" w:cs="Times New Roman"/>
                <w:color w:val="auto"/>
              </w:rPr>
              <w:t>,</w:t>
            </w:r>
            <w:r w:rsidR="00EA02F9" w:rsidRPr="000A45B1">
              <w:rPr>
                <w:rFonts w:ascii="Times New Roman" w:hAnsi="Times New Roman" w:cs="Times New Roman"/>
                <w:color w:val="auto"/>
              </w:rPr>
              <w:t xml:space="preserve">026 </w:t>
            </w:r>
            <w:r w:rsidR="00185968" w:rsidRPr="000A45B1">
              <w:rPr>
                <w:rFonts w:ascii="Times New Roman" w:hAnsi="Times New Roman" w:cs="Times New Roman"/>
                <w:color w:val="auto"/>
              </w:rPr>
              <w:t>EUR</w:t>
            </w:r>
          </w:p>
          <w:p w:rsidR="00185968" w:rsidRPr="000A45B1" w:rsidRDefault="00525CE4" w:rsidP="00185968">
            <w:pPr>
              <w:spacing w:before="60" w:after="60" w:line="240" w:lineRule="auto"/>
              <w:rPr>
                <w:rFonts w:ascii="Times New Roman" w:hAnsi="Times New Roman" w:cs="Times New Roman"/>
                <w:color w:val="auto"/>
              </w:rPr>
            </w:pPr>
            <w:r w:rsidRPr="000A45B1">
              <w:rPr>
                <w:rFonts w:ascii="Times New Roman" w:hAnsi="Times New Roman" w:cs="Times New Roman"/>
                <w:color w:val="auto"/>
              </w:rPr>
              <w:t>Lot</w:t>
            </w:r>
            <w:r w:rsidR="00526191" w:rsidRPr="000A45B1">
              <w:rPr>
                <w:rFonts w:ascii="Times New Roman" w:hAnsi="Times New Roman" w:cs="Times New Roman"/>
                <w:color w:val="auto"/>
              </w:rPr>
              <w:t xml:space="preserve"> 2</w:t>
            </w:r>
            <w:r w:rsidR="00185968" w:rsidRPr="000A45B1">
              <w:rPr>
                <w:rFonts w:ascii="Times New Roman" w:hAnsi="Times New Roman" w:cs="Times New Roman"/>
                <w:color w:val="auto"/>
              </w:rPr>
              <w:t xml:space="preserve">: </w:t>
            </w:r>
            <w:r w:rsidR="00EA02F9" w:rsidRPr="000A45B1">
              <w:rPr>
                <w:rFonts w:ascii="Times New Roman" w:hAnsi="Times New Roman" w:cs="Times New Roman"/>
                <w:color w:val="auto"/>
              </w:rPr>
              <w:t>148</w:t>
            </w:r>
            <w:r w:rsidRPr="000A45B1">
              <w:rPr>
                <w:rFonts w:ascii="Times New Roman" w:hAnsi="Times New Roman" w:cs="Times New Roman"/>
                <w:color w:val="auto"/>
              </w:rPr>
              <w:t>,</w:t>
            </w:r>
            <w:r w:rsidR="005A5742">
              <w:rPr>
                <w:rFonts w:ascii="Times New Roman" w:hAnsi="Times New Roman" w:cs="Times New Roman"/>
                <w:color w:val="auto"/>
              </w:rPr>
              <w:t>535</w:t>
            </w:r>
            <w:r w:rsidR="00185968" w:rsidRPr="000A45B1">
              <w:rPr>
                <w:rFonts w:ascii="Times New Roman" w:hAnsi="Times New Roman" w:cs="Times New Roman"/>
                <w:color w:val="auto"/>
              </w:rPr>
              <w:t xml:space="preserve"> EUR</w:t>
            </w:r>
          </w:p>
          <w:p w:rsidR="00185968" w:rsidRPr="000A45B1" w:rsidRDefault="00525CE4" w:rsidP="00185968">
            <w:pPr>
              <w:spacing w:before="60" w:after="60" w:line="240" w:lineRule="auto"/>
              <w:rPr>
                <w:rFonts w:ascii="Times New Roman" w:hAnsi="Times New Roman" w:cs="Times New Roman"/>
                <w:color w:val="auto"/>
              </w:rPr>
            </w:pPr>
            <w:r w:rsidRPr="000A45B1">
              <w:rPr>
                <w:rFonts w:ascii="Times New Roman" w:hAnsi="Times New Roman" w:cs="Times New Roman"/>
                <w:color w:val="auto"/>
              </w:rPr>
              <w:t>Lot</w:t>
            </w:r>
            <w:r w:rsidR="00185968" w:rsidRPr="000A45B1">
              <w:rPr>
                <w:rFonts w:ascii="Times New Roman" w:hAnsi="Times New Roman" w:cs="Times New Roman"/>
                <w:color w:val="auto"/>
              </w:rPr>
              <w:t xml:space="preserve"> </w:t>
            </w:r>
            <w:r w:rsidR="00526191" w:rsidRPr="000A45B1">
              <w:rPr>
                <w:rFonts w:ascii="Times New Roman" w:hAnsi="Times New Roman" w:cs="Times New Roman"/>
                <w:color w:val="auto"/>
              </w:rPr>
              <w:t>3</w:t>
            </w:r>
            <w:r w:rsidR="00185968" w:rsidRPr="000A45B1">
              <w:rPr>
                <w:rFonts w:ascii="Times New Roman" w:hAnsi="Times New Roman" w:cs="Times New Roman"/>
                <w:color w:val="auto"/>
              </w:rPr>
              <w:t xml:space="preserve">: </w:t>
            </w:r>
            <w:r w:rsidR="00EA02F9" w:rsidRPr="000A45B1">
              <w:rPr>
                <w:rFonts w:ascii="Times New Roman" w:hAnsi="Times New Roman" w:cs="Times New Roman"/>
                <w:color w:val="auto"/>
              </w:rPr>
              <w:t>153</w:t>
            </w:r>
            <w:r w:rsidRPr="000A45B1">
              <w:rPr>
                <w:rFonts w:ascii="Times New Roman" w:hAnsi="Times New Roman" w:cs="Times New Roman"/>
                <w:color w:val="auto"/>
              </w:rPr>
              <w:t>,</w:t>
            </w:r>
            <w:r w:rsidR="00EA02F9" w:rsidRPr="000A45B1">
              <w:rPr>
                <w:rFonts w:ascii="Times New Roman" w:hAnsi="Times New Roman" w:cs="Times New Roman"/>
                <w:color w:val="auto"/>
              </w:rPr>
              <w:t>786</w:t>
            </w:r>
            <w:r w:rsidR="00185968" w:rsidRPr="000A45B1">
              <w:rPr>
                <w:rFonts w:ascii="Times New Roman" w:hAnsi="Times New Roman" w:cs="Times New Roman"/>
                <w:color w:val="auto"/>
              </w:rPr>
              <w:t xml:space="preserve"> EUR</w:t>
            </w:r>
          </w:p>
          <w:p w:rsidR="00185968" w:rsidRPr="000A45B1" w:rsidRDefault="00525CE4" w:rsidP="00525CE4">
            <w:pPr>
              <w:spacing w:before="60" w:after="60" w:line="240" w:lineRule="auto"/>
              <w:rPr>
                <w:rFonts w:ascii="Times New Roman" w:hAnsi="Times New Roman" w:cs="Times New Roman"/>
                <w:color w:val="auto"/>
              </w:rPr>
            </w:pPr>
            <w:r w:rsidRPr="000A45B1">
              <w:rPr>
                <w:rFonts w:ascii="Times New Roman" w:hAnsi="Times New Roman" w:cs="Times New Roman"/>
                <w:color w:val="auto"/>
              </w:rPr>
              <w:t>Lot</w:t>
            </w:r>
            <w:r w:rsidR="00526191" w:rsidRPr="000A45B1">
              <w:rPr>
                <w:rFonts w:ascii="Times New Roman" w:hAnsi="Times New Roman" w:cs="Times New Roman"/>
                <w:color w:val="auto"/>
              </w:rPr>
              <w:t xml:space="preserve"> 4</w:t>
            </w:r>
            <w:r w:rsidR="00185968" w:rsidRPr="000A45B1">
              <w:rPr>
                <w:rFonts w:ascii="Times New Roman" w:hAnsi="Times New Roman" w:cs="Times New Roman"/>
                <w:color w:val="auto"/>
              </w:rPr>
              <w:t xml:space="preserve">: </w:t>
            </w:r>
            <w:r w:rsidR="00EA02F9" w:rsidRPr="000A45B1">
              <w:rPr>
                <w:rFonts w:ascii="Times New Roman" w:hAnsi="Times New Roman" w:cs="Times New Roman"/>
                <w:color w:val="auto"/>
              </w:rPr>
              <w:t>203</w:t>
            </w:r>
            <w:r w:rsidRPr="000A45B1">
              <w:rPr>
                <w:rFonts w:ascii="Times New Roman" w:hAnsi="Times New Roman" w:cs="Times New Roman"/>
                <w:color w:val="auto"/>
              </w:rPr>
              <w:t>,</w:t>
            </w:r>
            <w:r w:rsidR="00EA02F9" w:rsidRPr="000A45B1">
              <w:rPr>
                <w:rFonts w:ascii="Times New Roman" w:hAnsi="Times New Roman" w:cs="Times New Roman"/>
                <w:color w:val="auto"/>
              </w:rPr>
              <w:t>873</w:t>
            </w:r>
            <w:r w:rsidR="00185968" w:rsidRPr="000A45B1">
              <w:rPr>
                <w:rFonts w:ascii="Times New Roman" w:hAnsi="Times New Roman" w:cs="Times New Roman"/>
                <w:color w:val="auto"/>
              </w:rPr>
              <w:t xml:space="preserve"> EUR</w:t>
            </w:r>
          </w:p>
        </w:tc>
      </w:tr>
      <w:tr w:rsidR="002D6E25" w:rsidRPr="000A45B1" w:rsidTr="009C6217">
        <w:tc>
          <w:tcPr>
            <w:tcW w:w="383" w:type="pct"/>
            <w:shd w:val="clear" w:color="auto" w:fill="FFFFFF"/>
            <w:tcMar>
              <w:top w:w="0" w:type="dxa"/>
              <w:left w:w="108" w:type="dxa"/>
              <w:bottom w:w="0" w:type="dxa"/>
              <w:right w:w="108" w:type="dxa"/>
            </w:tcMar>
          </w:tcPr>
          <w:p w:rsidR="002D6E25" w:rsidRPr="000A45B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083F35" w:rsidRPr="000A45B1" w:rsidRDefault="00525CE4" w:rsidP="00525CE4">
            <w:pPr>
              <w:spacing w:before="60" w:after="60" w:line="240" w:lineRule="auto"/>
              <w:rPr>
                <w:rFonts w:ascii="Times New Roman" w:hAnsi="Times New Roman" w:cs="Times New Roman"/>
                <w:sz w:val="24"/>
                <w:szCs w:val="24"/>
              </w:rPr>
            </w:pPr>
            <w:r w:rsidRPr="000A45B1">
              <w:rPr>
                <w:rFonts w:ascii="Times New Roman" w:hAnsi="Times New Roman" w:cs="Times New Roman"/>
                <w:sz w:val="24"/>
                <w:szCs w:val="24"/>
              </w:rPr>
              <w:t>Duration and type of framework contract (single supplier or multi-supplier framework contract) if framework contract is to be awarded:</w:t>
            </w:r>
          </w:p>
        </w:tc>
      </w:tr>
      <w:tr w:rsidR="002D6E25" w:rsidRPr="000A45B1" w:rsidTr="009C6217">
        <w:trPr>
          <w:trHeight w:val="1720"/>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2D6E25" w:rsidRPr="000A45B1" w:rsidRDefault="00525CE4" w:rsidP="009C6217">
            <w:pPr>
              <w:spacing w:before="60" w:after="60" w:line="240" w:lineRule="auto"/>
              <w:rPr>
                <w:rFonts w:ascii="Times New Roman" w:hAnsi="Times New Roman" w:cs="Times New Roman"/>
              </w:rPr>
            </w:pPr>
            <w:r w:rsidRPr="000A45B1">
              <w:rPr>
                <w:rFonts w:ascii="Times New Roman" w:hAnsi="Times New Roman" w:cs="Times New Roman"/>
                <w:sz w:val="24"/>
                <w:szCs w:val="24"/>
              </w:rPr>
              <w:t>Not Applicable</w:t>
            </w:r>
          </w:p>
        </w:tc>
      </w:tr>
      <w:tr w:rsidR="002D6E25" w:rsidRPr="000A45B1" w:rsidTr="009C6217">
        <w:trPr>
          <w:trHeight w:val="226"/>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9C6217">
        <w:trPr>
          <w:trHeight w:val="745"/>
        </w:trPr>
        <w:tc>
          <w:tcPr>
            <w:tcW w:w="383" w:type="pct"/>
            <w:shd w:val="clear" w:color="auto" w:fill="FFFFFF"/>
            <w:tcMar>
              <w:top w:w="0" w:type="dxa"/>
              <w:left w:w="108" w:type="dxa"/>
              <w:bottom w:w="0" w:type="dxa"/>
              <w:right w:w="108" w:type="dxa"/>
            </w:tcMar>
          </w:tcPr>
          <w:p w:rsidR="002D6E25" w:rsidRPr="000A45B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525CE4" w:rsidP="00525CE4">
            <w:pPr>
              <w:tabs>
                <w:tab w:val="left" w:pos="273"/>
              </w:tabs>
              <w:spacing w:before="60" w:after="60" w:line="240" w:lineRule="auto"/>
              <w:rPr>
                <w:rFonts w:ascii="Times New Roman" w:hAnsi="Times New Roman" w:cs="Times New Roman"/>
              </w:rPr>
            </w:pPr>
            <w:r w:rsidRPr="000A45B1">
              <w:rPr>
                <w:rFonts w:ascii="Times New Roman" w:hAnsi="Times New Roman" w:cs="Times New Roman"/>
              </w:rPr>
              <w:t>Eligibility criteria</w:t>
            </w:r>
            <w:r w:rsidR="004511C2" w:rsidRPr="000A45B1">
              <w:rPr>
                <w:rFonts w:ascii="Times New Roman" w:hAnsi="Times New Roman" w:cs="Times New Roman"/>
              </w:rPr>
              <w:t>:</w:t>
            </w:r>
          </w:p>
        </w:tc>
      </w:tr>
      <w:tr w:rsidR="002D6E25" w:rsidRPr="000A45B1" w:rsidTr="009C6217">
        <w:trPr>
          <w:trHeight w:val="1720"/>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F715B5" w:rsidRPr="000A45B1" w:rsidRDefault="00525CE4" w:rsidP="005E2DC3">
            <w:pPr>
              <w:spacing w:before="60" w:after="60" w:line="240" w:lineRule="auto"/>
              <w:jc w:val="both"/>
              <w:rPr>
                <w:rFonts w:ascii="Times New Roman" w:hAnsi="Times New Roman" w:cs="Times New Roman"/>
              </w:rPr>
            </w:pPr>
            <w:r w:rsidRPr="000A45B1">
              <w:rPr>
                <w:rFonts w:ascii="Times New Roman" w:hAnsi="Times New Roman" w:cs="Times New Roman"/>
              </w:rPr>
              <w:t xml:space="preserve">All interested persons shall have the right to participate either individually or as a part of a group of </w:t>
            </w:r>
            <w:proofErr w:type="spellStart"/>
            <w:r w:rsidRPr="000A45B1">
              <w:rPr>
                <w:rFonts w:ascii="Times New Roman" w:hAnsi="Times New Roman" w:cs="Times New Roman"/>
              </w:rPr>
              <w:t>tenderers</w:t>
            </w:r>
            <w:proofErr w:type="spellEnd"/>
            <w:r w:rsidRPr="000A45B1">
              <w:rPr>
                <w:rFonts w:ascii="Times New Roman" w:hAnsi="Times New Roman" w:cs="Times New Roman"/>
              </w:rPr>
              <w:t xml:space="preserve">, provided they fulfil eligibility criteria defined in a part of Tender Dossier: Instructions for </w:t>
            </w:r>
            <w:proofErr w:type="spellStart"/>
            <w:r w:rsidRPr="000A45B1">
              <w:rPr>
                <w:rFonts w:ascii="Times New Roman" w:hAnsi="Times New Roman" w:cs="Times New Roman"/>
              </w:rPr>
              <w:t>Tenderers</w:t>
            </w:r>
            <w:proofErr w:type="spellEnd"/>
            <w:r w:rsidRPr="000A45B1">
              <w:rPr>
                <w:rFonts w:ascii="Times New Roman" w:hAnsi="Times New Roman" w:cs="Times New Roman"/>
              </w:rPr>
              <w:t>, Chapter 3: Eligibility criteria for evaluation and comparison, as well as conditions defined in the Procurement Manual for goods, works and services  of the Council of Europe Development Bank, Chapter 3.3: Eligibility criteria for participation in the procedure and provision of goods, works and services</w:t>
            </w:r>
            <w:r w:rsidR="002B65C9" w:rsidRPr="000A45B1">
              <w:rPr>
                <w:rFonts w:ascii="Times New Roman" w:hAnsi="Times New Roman" w:cs="Times New Roman"/>
              </w:rPr>
              <w:t>.</w:t>
            </w:r>
          </w:p>
          <w:p w:rsidR="002D6E25" w:rsidRPr="000A45B1" w:rsidRDefault="00F03715" w:rsidP="005E2DC3">
            <w:pPr>
              <w:spacing w:before="60" w:after="60" w:line="240" w:lineRule="auto"/>
              <w:jc w:val="both"/>
              <w:rPr>
                <w:rFonts w:ascii="Times New Roman" w:hAnsi="Times New Roman" w:cs="Times New Roman"/>
                <w:color w:val="0000FF" w:themeColor="hyperlink"/>
                <w:u w:val="single"/>
              </w:rPr>
            </w:pPr>
            <w:hyperlink r:id="rId9" w:history="1">
              <w:r w:rsidR="00185968" w:rsidRPr="000A45B1">
                <w:rPr>
                  <w:rStyle w:val="Hyperlink"/>
                  <w:rFonts w:ascii="Times New Roman" w:hAnsi="Times New Roman" w:cs="Times New Roman"/>
                </w:rPr>
                <w:t>http://www.coebank.org/en/about/policies-and-guidelines/projects-and-loans-policies-and-guidelines</w:t>
              </w:r>
            </w:hyperlink>
            <w:r w:rsidR="00185968" w:rsidRPr="000A45B1">
              <w:rPr>
                <w:rFonts w:ascii="Times New Roman" w:hAnsi="Times New Roman" w:cs="Times New Roman"/>
              </w:rPr>
              <w:t xml:space="preserve"> </w:t>
            </w:r>
          </w:p>
        </w:tc>
      </w:tr>
      <w:tr w:rsidR="002D6E25" w:rsidRPr="000A45B1" w:rsidTr="009C6217">
        <w:trPr>
          <w:trHeight w:val="236"/>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9C6217">
        <w:trPr>
          <w:trHeight w:val="745"/>
        </w:trPr>
        <w:tc>
          <w:tcPr>
            <w:tcW w:w="383" w:type="pct"/>
            <w:shd w:val="clear" w:color="auto" w:fill="FFFFFF"/>
            <w:tcMar>
              <w:top w:w="0" w:type="dxa"/>
              <w:left w:w="108" w:type="dxa"/>
              <w:bottom w:w="0" w:type="dxa"/>
              <w:right w:w="108" w:type="dxa"/>
            </w:tcMar>
          </w:tcPr>
          <w:p w:rsidR="002D6E25" w:rsidRPr="000A45B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6E3260" w:rsidP="009E33F0">
            <w:pPr>
              <w:spacing w:before="60" w:after="60" w:line="240" w:lineRule="auto"/>
              <w:rPr>
                <w:rFonts w:ascii="Times New Roman" w:hAnsi="Times New Roman" w:cs="Times New Roman"/>
              </w:rPr>
            </w:pPr>
            <w:r w:rsidRPr="000A45B1">
              <w:rPr>
                <w:rFonts w:ascii="Times New Roman" w:hAnsi="Times New Roman" w:cs="Times New Roman"/>
              </w:rPr>
              <w:t>Selection criteria</w:t>
            </w:r>
            <w:r w:rsidR="004511C2" w:rsidRPr="000A45B1">
              <w:rPr>
                <w:rFonts w:ascii="Times New Roman" w:hAnsi="Times New Roman" w:cs="Times New Roman"/>
              </w:rPr>
              <w:t>:</w:t>
            </w:r>
          </w:p>
        </w:tc>
      </w:tr>
      <w:tr w:rsidR="002D6E25" w:rsidRPr="000A45B1" w:rsidTr="009C6217">
        <w:trPr>
          <w:trHeight w:val="1720"/>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246CA2" w:rsidRPr="000A45B1" w:rsidRDefault="009F1166" w:rsidP="00A92081">
            <w:pPr>
              <w:spacing w:before="60" w:after="60" w:line="240" w:lineRule="auto"/>
              <w:jc w:val="both"/>
              <w:rPr>
                <w:rFonts w:ascii="Times New Roman" w:hAnsi="Times New Roman" w:cs="Times New Roman"/>
                <w:color w:val="auto"/>
              </w:rPr>
            </w:pPr>
            <w:proofErr w:type="spellStart"/>
            <w:r w:rsidRPr="000A45B1">
              <w:rPr>
                <w:rFonts w:ascii="Times New Roman" w:hAnsi="Times New Roman" w:cs="Times New Roman"/>
                <w:color w:val="auto"/>
              </w:rPr>
              <w:t>Tenderers</w:t>
            </w:r>
            <w:proofErr w:type="spellEnd"/>
            <w:r w:rsidRPr="000A45B1">
              <w:rPr>
                <w:rFonts w:ascii="Times New Roman" w:hAnsi="Times New Roman" w:cs="Times New Roman"/>
                <w:color w:val="auto"/>
              </w:rPr>
              <w:t xml:space="preserve"> shall fulfil all the conditions listed below. In case of group tender, these selection criteria shall apply to the entire group of tendered</w:t>
            </w:r>
            <w:r w:rsidR="00246CA2" w:rsidRPr="000A45B1">
              <w:rPr>
                <w:rFonts w:ascii="Times New Roman" w:hAnsi="Times New Roman" w:cs="Times New Roman"/>
                <w:color w:val="auto"/>
              </w:rPr>
              <w:t xml:space="preserve">. </w:t>
            </w:r>
          </w:p>
          <w:p w:rsidR="009C3B32" w:rsidRPr="000A45B1" w:rsidRDefault="009C3B32" w:rsidP="00A92081">
            <w:pPr>
              <w:spacing w:before="60" w:after="60" w:line="240" w:lineRule="auto"/>
              <w:jc w:val="both"/>
              <w:rPr>
                <w:rFonts w:ascii="Times New Roman" w:hAnsi="Times New Roman" w:cs="Times New Roman"/>
                <w:color w:val="auto"/>
              </w:rPr>
            </w:pPr>
          </w:p>
          <w:p w:rsidR="008C39A7" w:rsidRPr="000A45B1" w:rsidRDefault="008C39A7" w:rsidP="008C39A7">
            <w:pPr>
              <w:spacing w:before="60" w:after="60" w:line="240" w:lineRule="auto"/>
              <w:jc w:val="both"/>
              <w:rPr>
                <w:rFonts w:ascii="Times New Roman" w:hAnsi="Times New Roman" w:cs="Times New Roman"/>
                <w:b/>
                <w:color w:val="auto"/>
              </w:rPr>
            </w:pPr>
            <w:r w:rsidRPr="000A45B1">
              <w:rPr>
                <w:rFonts w:ascii="Times New Roman" w:hAnsi="Times New Roman" w:cs="Times New Roman"/>
                <w:b/>
                <w:color w:val="auto"/>
              </w:rPr>
              <w:t>1)</w:t>
            </w:r>
            <w:r w:rsidRPr="000A45B1">
              <w:rPr>
                <w:rFonts w:ascii="Times New Roman" w:hAnsi="Times New Roman" w:cs="Times New Roman"/>
                <w:b/>
                <w:color w:val="auto"/>
              </w:rPr>
              <w:tab/>
            </w:r>
            <w:r w:rsidR="009F1166" w:rsidRPr="000A45B1">
              <w:rPr>
                <w:rFonts w:ascii="Times New Roman" w:hAnsi="Times New Roman" w:cs="Times New Roman"/>
                <w:b/>
                <w:color w:val="auto"/>
              </w:rPr>
              <w:t>Financial capacity</w:t>
            </w:r>
            <w:r w:rsidR="00CF487C">
              <w:rPr>
                <w:rFonts w:ascii="Times New Roman" w:hAnsi="Times New Roman" w:cs="Times New Roman"/>
                <w:b/>
                <w:color w:val="auto"/>
              </w:rPr>
              <w:t xml:space="preserve"> of </w:t>
            </w:r>
            <w:proofErr w:type="spellStart"/>
            <w:r w:rsidR="00CF487C">
              <w:rPr>
                <w:rFonts w:ascii="Times New Roman" w:hAnsi="Times New Roman" w:cs="Times New Roman"/>
                <w:b/>
                <w:color w:val="auto"/>
              </w:rPr>
              <w:t>tenderers</w:t>
            </w:r>
            <w:proofErr w:type="spellEnd"/>
            <w:r w:rsidRPr="000A45B1">
              <w:rPr>
                <w:rFonts w:ascii="Times New Roman" w:hAnsi="Times New Roman" w:cs="Times New Roman"/>
                <w:b/>
                <w:color w:val="auto"/>
              </w:rPr>
              <w:t>:</w:t>
            </w:r>
          </w:p>
          <w:p w:rsidR="009F1166" w:rsidRPr="000A45B1" w:rsidRDefault="009F1166" w:rsidP="009F1166">
            <w:pPr>
              <w:pStyle w:val="BodyText"/>
              <w:numPr>
                <w:ilvl w:val="0"/>
                <w:numId w:val="10"/>
              </w:numPr>
              <w:tabs>
                <w:tab w:val="left" w:pos="0"/>
                <w:tab w:val="left" w:pos="397"/>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hanging="283"/>
              <w:jc w:val="both"/>
              <w:outlineLvl w:val="3"/>
            </w:pPr>
            <w:r w:rsidRPr="000A45B1">
              <w:rPr>
                <w:rFonts w:eastAsia="WenQuanYi Micro Hei"/>
                <w:b/>
                <w:sz w:val="22"/>
                <w:szCs w:val="22"/>
                <w:lang w:eastAsia="en-US"/>
              </w:rPr>
              <w:t>Liquidity:</w:t>
            </w:r>
            <w:r w:rsidRPr="000A45B1">
              <w:t xml:space="preserve"> </w:t>
            </w:r>
            <w:proofErr w:type="spellStart"/>
            <w:r w:rsidRPr="000A45B1">
              <w:rPr>
                <w:rFonts w:eastAsia="WenQuanYi Micro Hei"/>
                <w:sz w:val="22"/>
                <w:szCs w:val="22"/>
                <w:lang w:eastAsia="en-US"/>
              </w:rPr>
              <w:t>Tenderer's</w:t>
            </w:r>
            <w:proofErr w:type="spellEnd"/>
            <w:r w:rsidRPr="000A45B1">
              <w:rPr>
                <w:rFonts w:eastAsia="WenQuanYi Micro Hei"/>
                <w:sz w:val="22"/>
                <w:szCs w:val="22"/>
                <w:lang w:eastAsia="en-US"/>
              </w:rPr>
              <w:t xml:space="preserve"> account has not been blocked in the period of twelve (12) months before the Public Call for submission of tenders.</w:t>
            </w:r>
            <w:r w:rsidRPr="000A45B1">
              <w:t xml:space="preserve"> </w:t>
            </w:r>
          </w:p>
          <w:p w:rsidR="009F1166" w:rsidRPr="000A45B1" w:rsidRDefault="009F1166" w:rsidP="009F1166">
            <w:pPr>
              <w:pStyle w:val="BodyText"/>
              <w:tabs>
                <w:tab w:val="left" w:pos="0"/>
                <w:tab w:val="left" w:pos="1133"/>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lastRenderedPageBreak/>
              <w:t xml:space="preserve">This provision shall pertain to all </w:t>
            </w:r>
            <w:proofErr w:type="spellStart"/>
            <w:r w:rsidRPr="000A45B1">
              <w:rPr>
                <w:sz w:val="22"/>
                <w:szCs w:val="22"/>
              </w:rPr>
              <w:t>tenderers</w:t>
            </w:r>
            <w:proofErr w:type="spellEnd"/>
            <w:r w:rsidRPr="000A45B1">
              <w:rPr>
                <w:sz w:val="22"/>
                <w:szCs w:val="22"/>
              </w:rPr>
              <w:t xml:space="preserve"> from the group of </w:t>
            </w:r>
            <w:proofErr w:type="spellStart"/>
            <w:r w:rsidRPr="000A45B1">
              <w:rPr>
                <w:sz w:val="22"/>
                <w:szCs w:val="22"/>
              </w:rPr>
              <w:t>tenderers</w:t>
            </w:r>
            <w:proofErr w:type="spellEnd"/>
            <w:r w:rsidRPr="000A45B1">
              <w:rPr>
                <w:sz w:val="22"/>
                <w:szCs w:val="22"/>
              </w:rPr>
              <w:t xml:space="preserve"> and to all subcontractors.</w:t>
            </w:r>
          </w:p>
          <w:p w:rsidR="009F1166" w:rsidRPr="000A45B1" w:rsidRDefault="009F1166" w:rsidP="009F1166">
            <w:pPr>
              <w:pStyle w:val="BodyText"/>
              <w:numPr>
                <w:ilvl w:val="0"/>
                <w:numId w:val="10"/>
              </w:numPr>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b/>
                <w:sz w:val="22"/>
                <w:szCs w:val="22"/>
              </w:rPr>
              <w:t>Bankruptcy and liquidation</w:t>
            </w:r>
            <w:r w:rsidRPr="000A45B1">
              <w:rPr>
                <w:sz w:val="22"/>
                <w:szCs w:val="22"/>
              </w:rPr>
              <w:t>: Tendered had not been subject to bankruptcy or liquidation procedure, or to previous bankruptcy procedure.</w:t>
            </w:r>
          </w:p>
          <w:p w:rsidR="009F1166" w:rsidRPr="000A45B1" w:rsidRDefault="009F1166" w:rsidP="009F1166">
            <w:pPr>
              <w:pStyle w:val="BodyText"/>
              <w:tabs>
                <w:tab w:val="left" w:pos="0"/>
                <w:tab w:val="left" w:pos="1133"/>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 xml:space="preserve">This provision shall pertain to all </w:t>
            </w:r>
            <w:proofErr w:type="spellStart"/>
            <w:r w:rsidRPr="000A45B1">
              <w:rPr>
                <w:sz w:val="22"/>
                <w:szCs w:val="22"/>
              </w:rPr>
              <w:t>tenderers</w:t>
            </w:r>
            <w:proofErr w:type="spellEnd"/>
            <w:r w:rsidRPr="000A45B1">
              <w:rPr>
                <w:sz w:val="22"/>
                <w:szCs w:val="22"/>
              </w:rPr>
              <w:t xml:space="preserve"> from the group of </w:t>
            </w:r>
            <w:proofErr w:type="spellStart"/>
            <w:r w:rsidRPr="000A45B1">
              <w:rPr>
                <w:sz w:val="22"/>
                <w:szCs w:val="22"/>
              </w:rPr>
              <w:t>tenderers</w:t>
            </w:r>
            <w:proofErr w:type="spellEnd"/>
            <w:r w:rsidRPr="000A45B1">
              <w:rPr>
                <w:sz w:val="22"/>
                <w:szCs w:val="22"/>
              </w:rPr>
              <w:t xml:space="preserve"> and to all subcontractors.</w:t>
            </w:r>
          </w:p>
          <w:p w:rsidR="009F1166" w:rsidRPr="000A45B1" w:rsidRDefault="009F1166" w:rsidP="009F1166">
            <w:pPr>
              <w:pStyle w:val="BodyText"/>
              <w:numPr>
                <w:ilvl w:val="0"/>
                <w:numId w:val="10"/>
              </w:numPr>
              <w:tabs>
                <w:tab w:val="left" w:pos="0"/>
                <w:tab w:val="left" w:pos="681"/>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b/>
                <w:sz w:val="22"/>
                <w:szCs w:val="22"/>
              </w:rPr>
              <w:t>Business revenues:</w:t>
            </w:r>
            <w:r w:rsidRPr="000A45B1">
              <w:rPr>
                <w:sz w:val="22"/>
                <w:szCs w:val="22"/>
              </w:rPr>
              <w:t xml:space="preserve"> </w:t>
            </w:r>
            <w:proofErr w:type="spellStart"/>
            <w:r w:rsidRPr="000A45B1">
              <w:rPr>
                <w:sz w:val="22"/>
                <w:szCs w:val="22"/>
              </w:rPr>
              <w:t>Tenderer</w:t>
            </w:r>
            <w:proofErr w:type="spellEnd"/>
            <w:r w:rsidRPr="000A45B1">
              <w:rPr>
                <w:sz w:val="22"/>
                <w:szCs w:val="22"/>
              </w:rPr>
              <w:t xml:space="preserve"> must have average annual business revenue in the period of past three (3) years (2012, 2013, 2014) in the amounts not less than:</w:t>
            </w:r>
          </w:p>
          <w:p w:rsidR="009F1166" w:rsidRPr="000A45B1" w:rsidRDefault="00C477C4" w:rsidP="009F1166">
            <w:pPr>
              <w:pStyle w:val="BodyText"/>
              <w:numPr>
                <w:ilvl w:val="0"/>
                <w:numId w:val="12"/>
              </w:numPr>
              <w:tabs>
                <w:tab w:val="left" w:pos="0"/>
                <w:tab w:val="left" w:pos="681"/>
                <w:tab w:val="left" w:pos="1133"/>
                <w:tab w:val="left" w:pos="1985"/>
                <w:tab w:val="left" w:pos="2832"/>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t xml:space="preserve">for Lot 1: </w:t>
            </w:r>
            <w:r w:rsidR="009F1166" w:rsidRPr="000A45B1">
              <w:rPr>
                <w:sz w:val="22"/>
                <w:szCs w:val="22"/>
              </w:rPr>
              <w:t>165,000 EUR</w:t>
            </w:r>
          </w:p>
          <w:p w:rsidR="009F1166" w:rsidRPr="000A45B1" w:rsidRDefault="00C477C4" w:rsidP="009F1166">
            <w:pPr>
              <w:pStyle w:val="BodyText"/>
              <w:numPr>
                <w:ilvl w:val="0"/>
                <w:numId w:val="12"/>
              </w:numPr>
              <w:tabs>
                <w:tab w:val="left" w:pos="0"/>
                <w:tab w:val="left" w:pos="681"/>
                <w:tab w:val="left" w:pos="1133"/>
                <w:tab w:val="left" w:pos="1985"/>
                <w:tab w:val="left" w:pos="2832"/>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t xml:space="preserve">for Lot 2: </w:t>
            </w:r>
            <w:r w:rsidR="009F1166" w:rsidRPr="000A45B1">
              <w:rPr>
                <w:sz w:val="22"/>
                <w:szCs w:val="22"/>
              </w:rPr>
              <w:t>225,000 EUR</w:t>
            </w:r>
          </w:p>
          <w:p w:rsidR="009F1166" w:rsidRPr="000A45B1" w:rsidRDefault="00C477C4" w:rsidP="009F1166">
            <w:pPr>
              <w:pStyle w:val="BodyText"/>
              <w:numPr>
                <w:ilvl w:val="0"/>
                <w:numId w:val="12"/>
              </w:numPr>
              <w:tabs>
                <w:tab w:val="left" w:pos="0"/>
                <w:tab w:val="left" w:pos="681"/>
                <w:tab w:val="left" w:pos="1133"/>
                <w:tab w:val="left" w:pos="1985"/>
                <w:tab w:val="left" w:pos="2832"/>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t xml:space="preserve">for Lot 3: </w:t>
            </w:r>
            <w:r w:rsidR="009F1166" w:rsidRPr="000A45B1">
              <w:rPr>
                <w:sz w:val="22"/>
                <w:szCs w:val="22"/>
              </w:rPr>
              <w:t>230,000 EUR</w:t>
            </w:r>
          </w:p>
          <w:p w:rsidR="009F1166" w:rsidRPr="000A45B1" w:rsidRDefault="00C477C4" w:rsidP="009F1166">
            <w:pPr>
              <w:pStyle w:val="BodyText"/>
              <w:numPr>
                <w:ilvl w:val="0"/>
                <w:numId w:val="12"/>
              </w:numPr>
              <w:tabs>
                <w:tab w:val="left" w:pos="0"/>
                <w:tab w:val="left" w:pos="681"/>
                <w:tab w:val="left" w:pos="1133"/>
                <w:tab w:val="left" w:pos="1985"/>
                <w:tab w:val="left" w:pos="2832"/>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t xml:space="preserve">for Lot 4: </w:t>
            </w:r>
            <w:r w:rsidR="009F1166" w:rsidRPr="000A45B1">
              <w:rPr>
                <w:sz w:val="22"/>
                <w:szCs w:val="22"/>
              </w:rPr>
              <w:t>305,000 EUR</w:t>
            </w:r>
          </w:p>
          <w:p w:rsidR="009F1166" w:rsidRPr="000A45B1" w:rsidRDefault="009F1166" w:rsidP="009F1166">
            <w:pPr>
              <w:pStyle w:val="BodyText"/>
              <w:tabs>
                <w:tab w:val="left" w:pos="0"/>
                <w:tab w:val="left" w:pos="681"/>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b/>
                <w:sz w:val="22"/>
                <w:szCs w:val="22"/>
              </w:rPr>
            </w:pPr>
            <w:r w:rsidRPr="000A45B1">
              <w:rPr>
                <w:b/>
                <w:sz w:val="22"/>
                <w:szCs w:val="22"/>
              </w:rPr>
              <w:t xml:space="preserve">If </w:t>
            </w:r>
            <w:proofErr w:type="spellStart"/>
            <w:r w:rsidRPr="000A45B1">
              <w:rPr>
                <w:b/>
                <w:sz w:val="22"/>
                <w:szCs w:val="22"/>
              </w:rPr>
              <w:t>tenderers</w:t>
            </w:r>
            <w:proofErr w:type="spellEnd"/>
            <w:r w:rsidRPr="000A45B1">
              <w:rPr>
                <w:b/>
                <w:sz w:val="22"/>
                <w:szCs w:val="22"/>
              </w:rPr>
              <w:t xml:space="preserve"> submit tenders for more than one lot, they shall have at least a sum of average annual revenues over the past three years for lots they are competing for.</w:t>
            </w:r>
          </w:p>
          <w:p w:rsidR="009F1166" w:rsidRPr="000A45B1" w:rsidRDefault="009F1166" w:rsidP="009F1166">
            <w:pPr>
              <w:pStyle w:val="BodyText"/>
              <w:tabs>
                <w:tab w:val="left" w:pos="0"/>
                <w:tab w:val="left" w:pos="681"/>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 xml:space="preserve">Group of </w:t>
            </w:r>
            <w:proofErr w:type="spellStart"/>
            <w:r w:rsidRPr="000A45B1">
              <w:rPr>
                <w:sz w:val="22"/>
                <w:szCs w:val="22"/>
              </w:rPr>
              <w:t>tenderers</w:t>
            </w:r>
            <w:proofErr w:type="spellEnd"/>
            <w:r w:rsidRPr="000A45B1">
              <w:rPr>
                <w:sz w:val="22"/>
                <w:szCs w:val="22"/>
              </w:rPr>
              <w:t xml:space="preserve">: Leading member of the group of </w:t>
            </w:r>
            <w:proofErr w:type="spellStart"/>
            <w:r w:rsidRPr="000A45B1">
              <w:rPr>
                <w:sz w:val="22"/>
                <w:szCs w:val="22"/>
              </w:rPr>
              <w:t>tenderers</w:t>
            </w:r>
            <w:proofErr w:type="spellEnd"/>
            <w:r w:rsidRPr="000A45B1">
              <w:rPr>
                <w:sz w:val="22"/>
                <w:szCs w:val="22"/>
              </w:rPr>
              <w:t xml:space="preserve"> shall fulfil at least 50% of the listed conditions.</w:t>
            </w:r>
          </w:p>
          <w:p w:rsidR="008C39A7" w:rsidRPr="000A45B1" w:rsidRDefault="008C39A7" w:rsidP="008C39A7">
            <w:pPr>
              <w:spacing w:before="60" w:after="60" w:line="240" w:lineRule="auto"/>
              <w:jc w:val="both"/>
              <w:rPr>
                <w:rFonts w:ascii="Times New Roman" w:hAnsi="Times New Roman" w:cs="Times New Roman"/>
                <w:b/>
                <w:color w:val="auto"/>
              </w:rPr>
            </w:pPr>
            <w:r w:rsidRPr="000A45B1">
              <w:rPr>
                <w:rFonts w:ascii="Times New Roman" w:hAnsi="Times New Roman" w:cs="Times New Roman"/>
                <w:b/>
                <w:color w:val="auto"/>
              </w:rPr>
              <w:t>2)</w:t>
            </w:r>
            <w:r w:rsidRPr="000A45B1">
              <w:rPr>
                <w:rFonts w:ascii="Times New Roman" w:hAnsi="Times New Roman" w:cs="Times New Roman"/>
                <w:b/>
                <w:color w:val="auto"/>
              </w:rPr>
              <w:tab/>
            </w:r>
            <w:r w:rsidR="005A5742">
              <w:rPr>
                <w:rFonts w:ascii="Times New Roman" w:hAnsi="Times New Roman" w:cs="Times New Roman"/>
                <w:b/>
                <w:color w:val="auto"/>
              </w:rPr>
              <w:t xml:space="preserve">Professional </w:t>
            </w:r>
            <w:r w:rsidR="009F1166" w:rsidRPr="000A45B1">
              <w:rPr>
                <w:rFonts w:ascii="Times New Roman" w:hAnsi="Times New Roman" w:cs="Times New Roman"/>
                <w:b/>
                <w:color w:val="auto"/>
              </w:rPr>
              <w:t xml:space="preserve">capacity of </w:t>
            </w:r>
            <w:proofErr w:type="spellStart"/>
            <w:r w:rsidR="009F1166" w:rsidRPr="000A45B1">
              <w:rPr>
                <w:rFonts w:ascii="Times New Roman" w:hAnsi="Times New Roman" w:cs="Times New Roman"/>
                <w:b/>
                <w:color w:val="auto"/>
              </w:rPr>
              <w:t>tenderers</w:t>
            </w:r>
            <w:proofErr w:type="spellEnd"/>
            <w:r w:rsidRPr="000A45B1">
              <w:rPr>
                <w:rFonts w:ascii="Times New Roman" w:hAnsi="Times New Roman" w:cs="Times New Roman"/>
                <w:b/>
                <w:color w:val="auto"/>
              </w:rPr>
              <w:t>:</w:t>
            </w:r>
          </w:p>
          <w:p w:rsidR="009F1166" w:rsidRPr="000A45B1" w:rsidRDefault="009F1166" w:rsidP="009F1166">
            <w:pPr>
              <w:pStyle w:val="BodyText"/>
              <w:numPr>
                <w:ilvl w:val="0"/>
                <w:numId w:val="13"/>
              </w:numPr>
              <w:tabs>
                <w:tab w:val="left" w:pos="0"/>
                <w:tab w:val="left" w:pos="397"/>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b/>
                <w:sz w:val="22"/>
                <w:szCs w:val="22"/>
              </w:rPr>
            </w:pPr>
            <w:proofErr w:type="spellStart"/>
            <w:r w:rsidRPr="000A45B1">
              <w:rPr>
                <w:sz w:val="22"/>
                <w:szCs w:val="22"/>
              </w:rPr>
              <w:t>Tenderer</w:t>
            </w:r>
            <w:proofErr w:type="spellEnd"/>
            <w:r w:rsidRPr="000A45B1">
              <w:rPr>
                <w:sz w:val="22"/>
                <w:szCs w:val="22"/>
              </w:rPr>
              <w:t xml:space="preserve"> must have at least the following structure of (steadily) employed persons:</w:t>
            </w:r>
          </w:p>
          <w:p w:rsidR="009F1166" w:rsidRPr="000A45B1" w:rsidRDefault="009F1166" w:rsidP="009F1166">
            <w:pPr>
              <w:pStyle w:val="BodyText"/>
              <w:numPr>
                <w:ilvl w:val="0"/>
                <w:numId w:val="14"/>
              </w:numPr>
              <w:tabs>
                <w:tab w:val="left" w:pos="0"/>
                <w:tab w:val="left" w:pos="397"/>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for Lot 1: 8 persons, of whom 6 engineers</w:t>
            </w:r>
          </w:p>
          <w:p w:rsidR="009F1166" w:rsidRPr="000A45B1" w:rsidRDefault="009F1166" w:rsidP="009F1166">
            <w:pPr>
              <w:pStyle w:val="BodyText"/>
              <w:numPr>
                <w:ilvl w:val="0"/>
                <w:numId w:val="14"/>
              </w:numPr>
              <w:tabs>
                <w:tab w:val="left" w:pos="0"/>
                <w:tab w:val="left" w:pos="397"/>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for Lot 2: 8 persons, of whom 6 engineers</w:t>
            </w:r>
          </w:p>
          <w:p w:rsidR="009F1166" w:rsidRPr="000A45B1" w:rsidRDefault="009F1166" w:rsidP="009F1166">
            <w:pPr>
              <w:pStyle w:val="BodyText"/>
              <w:numPr>
                <w:ilvl w:val="0"/>
                <w:numId w:val="14"/>
              </w:numPr>
              <w:tabs>
                <w:tab w:val="left" w:pos="0"/>
                <w:tab w:val="left" w:pos="397"/>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for Lot 3: 8 persons, of whom 6 engineers</w:t>
            </w:r>
          </w:p>
          <w:p w:rsidR="009F1166" w:rsidRPr="000A45B1" w:rsidRDefault="009F1166" w:rsidP="009F1166">
            <w:pPr>
              <w:pStyle w:val="BodyText"/>
              <w:numPr>
                <w:ilvl w:val="0"/>
                <w:numId w:val="14"/>
              </w:numPr>
              <w:tabs>
                <w:tab w:val="left" w:pos="0"/>
                <w:tab w:val="left" w:pos="397"/>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for Lot 4: 8 persons, of whom 6 engineers</w:t>
            </w:r>
          </w:p>
          <w:p w:rsidR="009F1166" w:rsidRPr="000A45B1" w:rsidRDefault="009F1166" w:rsidP="009F1166">
            <w:pPr>
              <w:pStyle w:val="BodyText"/>
              <w:tabs>
                <w:tab w:val="left" w:pos="0"/>
                <w:tab w:val="left" w:pos="397"/>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b/>
                <w:sz w:val="22"/>
                <w:szCs w:val="22"/>
              </w:rPr>
            </w:pPr>
            <w:r w:rsidRPr="000A45B1">
              <w:rPr>
                <w:b/>
                <w:sz w:val="22"/>
                <w:szCs w:val="22"/>
              </w:rPr>
              <w:t xml:space="preserve">If </w:t>
            </w:r>
            <w:proofErr w:type="spellStart"/>
            <w:r w:rsidRPr="000A45B1">
              <w:rPr>
                <w:b/>
                <w:sz w:val="22"/>
                <w:szCs w:val="22"/>
              </w:rPr>
              <w:t>tenderers</w:t>
            </w:r>
            <w:proofErr w:type="spellEnd"/>
            <w:r w:rsidRPr="000A45B1">
              <w:rPr>
                <w:b/>
                <w:sz w:val="22"/>
                <w:szCs w:val="22"/>
              </w:rPr>
              <w:t xml:space="preserve"> submit tenders for more than one lot, they shall employ at least a sum of minimal number of persons for the lots they are competing for. </w:t>
            </w:r>
          </w:p>
          <w:p w:rsidR="009F1166" w:rsidRPr="000A45B1" w:rsidRDefault="009F1166" w:rsidP="009F1166">
            <w:pPr>
              <w:pStyle w:val="BodyText"/>
              <w:tabs>
                <w:tab w:val="left" w:pos="0"/>
                <w:tab w:val="left" w:pos="397"/>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 xml:space="preserve">Group of </w:t>
            </w:r>
            <w:proofErr w:type="spellStart"/>
            <w:r w:rsidRPr="000A45B1">
              <w:rPr>
                <w:sz w:val="22"/>
                <w:szCs w:val="22"/>
              </w:rPr>
              <w:t>tenderers</w:t>
            </w:r>
            <w:proofErr w:type="spellEnd"/>
            <w:r w:rsidRPr="000A45B1">
              <w:rPr>
                <w:sz w:val="22"/>
                <w:szCs w:val="22"/>
              </w:rPr>
              <w:t xml:space="preserve">: Leading member of the group of </w:t>
            </w:r>
            <w:proofErr w:type="spellStart"/>
            <w:r w:rsidRPr="000A45B1">
              <w:rPr>
                <w:sz w:val="22"/>
                <w:szCs w:val="22"/>
              </w:rPr>
              <w:t>tenderers</w:t>
            </w:r>
            <w:proofErr w:type="spellEnd"/>
            <w:r w:rsidRPr="000A45B1">
              <w:rPr>
                <w:sz w:val="22"/>
                <w:szCs w:val="22"/>
              </w:rPr>
              <w:t xml:space="preserve"> shall fulfil at least 50% of the listed conditions.</w:t>
            </w:r>
          </w:p>
          <w:p w:rsidR="008C39A7" w:rsidRPr="000A45B1" w:rsidRDefault="008C39A7" w:rsidP="008C39A7">
            <w:pPr>
              <w:spacing w:before="60" w:after="60" w:line="240" w:lineRule="auto"/>
              <w:jc w:val="both"/>
              <w:rPr>
                <w:rFonts w:ascii="Times New Roman" w:hAnsi="Times New Roman" w:cs="Times New Roman"/>
                <w:b/>
                <w:color w:val="auto"/>
              </w:rPr>
            </w:pPr>
            <w:r w:rsidRPr="000A45B1">
              <w:rPr>
                <w:rFonts w:ascii="Times New Roman" w:hAnsi="Times New Roman" w:cs="Times New Roman"/>
                <w:b/>
                <w:color w:val="auto"/>
              </w:rPr>
              <w:t>3)</w:t>
            </w:r>
            <w:r w:rsidRPr="000A45B1">
              <w:rPr>
                <w:rFonts w:ascii="Times New Roman" w:hAnsi="Times New Roman" w:cs="Times New Roman"/>
                <w:b/>
                <w:color w:val="auto"/>
              </w:rPr>
              <w:tab/>
            </w:r>
            <w:r w:rsidR="009F1166" w:rsidRPr="000A45B1">
              <w:rPr>
                <w:rFonts w:ascii="Times New Roman" w:hAnsi="Times New Roman" w:cs="Times New Roman"/>
                <w:b/>
                <w:color w:val="auto"/>
              </w:rPr>
              <w:t xml:space="preserve">Technical capacity of </w:t>
            </w:r>
            <w:proofErr w:type="spellStart"/>
            <w:r w:rsidR="009F1166" w:rsidRPr="000A45B1">
              <w:rPr>
                <w:rFonts w:ascii="Times New Roman" w:hAnsi="Times New Roman" w:cs="Times New Roman"/>
                <w:b/>
                <w:color w:val="auto"/>
              </w:rPr>
              <w:t>tenderers</w:t>
            </w:r>
            <w:proofErr w:type="spellEnd"/>
            <w:r w:rsidRPr="000A45B1">
              <w:rPr>
                <w:rFonts w:ascii="Times New Roman" w:hAnsi="Times New Roman" w:cs="Times New Roman"/>
                <w:b/>
                <w:color w:val="auto"/>
              </w:rPr>
              <w:t>:</w:t>
            </w:r>
          </w:p>
          <w:p w:rsidR="009F1166" w:rsidRPr="000A45B1" w:rsidRDefault="009F1166" w:rsidP="009F1166">
            <w:pPr>
              <w:pStyle w:val="BodyText"/>
              <w:numPr>
                <w:ilvl w:val="0"/>
                <w:numId w:val="15"/>
              </w:numPr>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Prior experience in the development of technical documentation:</w:t>
            </w:r>
          </w:p>
          <w:p w:rsidR="009F1166" w:rsidRPr="000A45B1" w:rsidRDefault="009F1166" w:rsidP="009F1166">
            <w:pPr>
              <w:pStyle w:val="BodyText"/>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 xml:space="preserve">Over the past 5 (five) years, </w:t>
            </w:r>
            <w:proofErr w:type="spellStart"/>
            <w:r w:rsidRPr="000A45B1">
              <w:rPr>
                <w:sz w:val="22"/>
                <w:szCs w:val="22"/>
              </w:rPr>
              <w:t>tenderer</w:t>
            </w:r>
            <w:proofErr w:type="spellEnd"/>
            <w:r w:rsidRPr="000A45B1">
              <w:rPr>
                <w:sz w:val="22"/>
                <w:szCs w:val="22"/>
              </w:rPr>
              <w:t xml:space="preserve"> has developed or has been leading member of a group for the development of technical documentation, i.e. main designs, detailed design for construction or design for construction, with all installations, for the construction of new buildings, upgrade or reconstruction of the existing buildings, in particular: </w:t>
            </w:r>
          </w:p>
          <w:p w:rsidR="009F1166" w:rsidRPr="000A45B1" w:rsidRDefault="009F1166" w:rsidP="009F1166">
            <w:pPr>
              <w:pStyle w:val="BodyText"/>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residential buildings, hotels and other buildings for short-term stay, business buildings, wholesale and retail buildings, industrial facilities, buildings for cultural and artistic activities, museums and libraries, school buildings and scientific-research buildings, hospitals and other healthcare buildings, clerical and other religious buildings, barracks and other military, police or fire-fighter quarters, on at least:</w:t>
            </w:r>
          </w:p>
          <w:p w:rsidR="009F1166" w:rsidRPr="000A45B1" w:rsidRDefault="00C477C4" w:rsidP="009F1166">
            <w:pPr>
              <w:pStyle w:val="BodyText"/>
              <w:numPr>
                <w:ilvl w:val="0"/>
                <w:numId w:val="14"/>
              </w:numPr>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t xml:space="preserve">for Lot 1: </w:t>
            </w:r>
            <w:r w:rsidR="009F1166" w:rsidRPr="000A45B1">
              <w:rPr>
                <w:sz w:val="22"/>
                <w:szCs w:val="22"/>
              </w:rPr>
              <w:t>10,000  m</w:t>
            </w:r>
            <w:r w:rsidR="009F1166" w:rsidRPr="000A45B1">
              <w:rPr>
                <w:sz w:val="22"/>
                <w:szCs w:val="22"/>
                <w:vertAlign w:val="superscript"/>
              </w:rPr>
              <w:t>2</w:t>
            </w:r>
            <w:r w:rsidR="009F1166" w:rsidRPr="000A45B1">
              <w:rPr>
                <w:sz w:val="22"/>
                <w:szCs w:val="22"/>
              </w:rPr>
              <w:t xml:space="preserve"> total gross area</w:t>
            </w:r>
          </w:p>
          <w:p w:rsidR="009F1166" w:rsidRPr="000A45B1" w:rsidRDefault="00C477C4" w:rsidP="009F1166">
            <w:pPr>
              <w:pStyle w:val="BodyText"/>
              <w:numPr>
                <w:ilvl w:val="0"/>
                <w:numId w:val="14"/>
              </w:numPr>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t xml:space="preserve">for Lot 2: </w:t>
            </w:r>
            <w:r w:rsidR="009F1166" w:rsidRPr="000A45B1">
              <w:rPr>
                <w:sz w:val="22"/>
                <w:szCs w:val="22"/>
              </w:rPr>
              <w:t>13,000  m</w:t>
            </w:r>
            <w:r w:rsidR="009F1166" w:rsidRPr="000A45B1">
              <w:rPr>
                <w:sz w:val="22"/>
                <w:szCs w:val="22"/>
                <w:vertAlign w:val="superscript"/>
              </w:rPr>
              <w:t>2</w:t>
            </w:r>
            <w:r w:rsidR="009F1166" w:rsidRPr="000A45B1">
              <w:rPr>
                <w:sz w:val="22"/>
                <w:szCs w:val="22"/>
              </w:rPr>
              <w:t xml:space="preserve"> total gross area</w:t>
            </w:r>
          </w:p>
          <w:p w:rsidR="009F1166" w:rsidRPr="000A45B1" w:rsidRDefault="00C477C4" w:rsidP="009F1166">
            <w:pPr>
              <w:pStyle w:val="BodyText"/>
              <w:numPr>
                <w:ilvl w:val="0"/>
                <w:numId w:val="14"/>
              </w:numPr>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lastRenderedPageBreak/>
              <w:t xml:space="preserve">for Lot 3: </w:t>
            </w:r>
            <w:r w:rsidR="009F1166" w:rsidRPr="000A45B1">
              <w:rPr>
                <w:sz w:val="22"/>
                <w:szCs w:val="22"/>
              </w:rPr>
              <w:t>14,000  m</w:t>
            </w:r>
            <w:r w:rsidR="009F1166" w:rsidRPr="000A45B1">
              <w:rPr>
                <w:sz w:val="22"/>
                <w:szCs w:val="22"/>
                <w:vertAlign w:val="superscript"/>
              </w:rPr>
              <w:t>2</w:t>
            </w:r>
            <w:r w:rsidR="009F1166" w:rsidRPr="000A45B1">
              <w:rPr>
                <w:sz w:val="22"/>
                <w:szCs w:val="22"/>
              </w:rPr>
              <w:t xml:space="preserve"> total gross area</w:t>
            </w:r>
          </w:p>
          <w:p w:rsidR="009F1166" w:rsidRPr="000A45B1" w:rsidRDefault="00C477C4" w:rsidP="009F1166">
            <w:pPr>
              <w:pStyle w:val="BodyText"/>
              <w:numPr>
                <w:ilvl w:val="0"/>
                <w:numId w:val="14"/>
              </w:numPr>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proofErr w:type="gramStart"/>
            <w:r>
              <w:rPr>
                <w:sz w:val="22"/>
                <w:szCs w:val="22"/>
              </w:rPr>
              <w:t>for</w:t>
            </w:r>
            <w:proofErr w:type="gramEnd"/>
            <w:r>
              <w:rPr>
                <w:sz w:val="22"/>
                <w:szCs w:val="22"/>
              </w:rPr>
              <w:t xml:space="preserve"> Lot 4: </w:t>
            </w:r>
            <w:r w:rsidR="009F1166" w:rsidRPr="000A45B1">
              <w:rPr>
                <w:sz w:val="22"/>
                <w:szCs w:val="22"/>
              </w:rPr>
              <w:t>18,000  m</w:t>
            </w:r>
            <w:r w:rsidR="009F1166" w:rsidRPr="000A45B1">
              <w:rPr>
                <w:sz w:val="22"/>
                <w:szCs w:val="22"/>
                <w:vertAlign w:val="superscript"/>
              </w:rPr>
              <w:t>2</w:t>
            </w:r>
            <w:r w:rsidR="009F1166" w:rsidRPr="000A45B1">
              <w:rPr>
                <w:sz w:val="22"/>
                <w:szCs w:val="22"/>
              </w:rPr>
              <w:t xml:space="preserve"> total gross area.</w:t>
            </w:r>
          </w:p>
          <w:p w:rsidR="009F1166" w:rsidRPr="000A45B1" w:rsidRDefault="009F1166" w:rsidP="009F1166">
            <w:pPr>
              <w:pStyle w:val="BodyText"/>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b/>
                <w:sz w:val="22"/>
                <w:szCs w:val="22"/>
              </w:rPr>
            </w:pPr>
            <w:r w:rsidRPr="000A45B1">
              <w:rPr>
                <w:b/>
                <w:sz w:val="22"/>
                <w:szCs w:val="22"/>
              </w:rPr>
              <w:t xml:space="preserve">If </w:t>
            </w:r>
            <w:proofErr w:type="spellStart"/>
            <w:r w:rsidRPr="000A45B1">
              <w:rPr>
                <w:b/>
                <w:sz w:val="22"/>
                <w:szCs w:val="22"/>
              </w:rPr>
              <w:t>tenderers</w:t>
            </w:r>
            <w:proofErr w:type="spellEnd"/>
            <w:r w:rsidRPr="000A45B1">
              <w:rPr>
                <w:b/>
                <w:sz w:val="22"/>
                <w:szCs w:val="22"/>
              </w:rPr>
              <w:t xml:space="preserve"> submit tenders for more than one lot, they shall have at least a sum of gross developed areas over the past five years for the lots they are competing for.</w:t>
            </w:r>
          </w:p>
          <w:p w:rsidR="009F1166" w:rsidRPr="000A45B1" w:rsidRDefault="009F1166" w:rsidP="009F1166">
            <w:pPr>
              <w:pStyle w:val="BodyText"/>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Note: Experience in the development of technical documentation does not include technical documentation for buildings which are not of similar nature and/or complexity as those for the proposed contract, that is: buildings for traffic and communication, tanks, silos and warehouses, agricultural structures, historic or protected monuments, other buildings not classified elsewhere, traffic infrastructure, pipelines, communication and electric lines, complex industrial establishments and other hereby not mentioned structures.</w:t>
            </w:r>
          </w:p>
          <w:p w:rsidR="009F1166" w:rsidRPr="000A45B1" w:rsidRDefault="009F1166" w:rsidP="009F1166">
            <w:pPr>
              <w:pStyle w:val="BodyText"/>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Current development of technical documentation and prior experience in the course of which there were breaches and contract terminations by contracting authority, shall not be taken into account as relevant reference.</w:t>
            </w:r>
          </w:p>
          <w:p w:rsidR="009F1166" w:rsidRPr="000A45B1" w:rsidRDefault="009F1166" w:rsidP="009F1166">
            <w:pPr>
              <w:pStyle w:val="BodyText"/>
              <w:tabs>
                <w:tab w:val="left" w:pos="0"/>
                <w:tab w:val="left" w:pos="1133"/>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 xml:space="preserve">Group of </w:t>
            </w:r>
            <w:proofErr w:type="spellStart"/>
            <w:r w:rsidRPr="000A45B1">
              <w:rPr>
                <w:sz w:val="22"/>
                <w:szCs w:val="22"/>
              </w:rPr>
              <w:t>tenderers</w:t>
            </w:r>
            <w:proofErr w:type="spellEnd"/>
            <w:r w:rsidRPr="000A45B1">
              <w:rPr>
                <w:sz w:val="22"/>
                <w:szCs w:val="22"/>
              </w:rPr>
              <w:t xml:space="preserve">: Leading member of the group of </w:t>
            </w:r>
            <w:proofErr w:type="spellStart"/>
            <w:r w:rsidRPr="000A45B1">
              <w:rPr>
                <w:sz w:val="22"/>
                <w:szCs w:val="22"/>
              </w:rPr>
              <w:t>tenderers</w:t>
            </w:r>
            <w:proofErr w:type="spellEnd"/>
            <w:r w:rsidRPr="000A45B1">
              <w:rPr>
                <w:sz w:val="22"/>
                <w:szCs w:val="22"/>
              </w:rPr>
              <w:t xml:space="preserve"> shall fulfil at least 50% of the listed conditions. </w:t>
            </w:r>
          </w:p>
          <w:p w:rsidR="009F1166" w:rsidRPr="000A45B1" w:rsidRDefault="009F1166" w:rsidP="009F1166">
            <w:pPr>
              <w:pStyle w:val="BodyText"/>
              <w:numPr>
                <w:ilvl w:val="0"/>
                <w:numId w:val="15"/>
              </w:numPr>
              <w:tabs>
                <w:tab w:val="left" w:pos="0"/>
                <w:tab w:val="left" w:pos="1133"/>
                <w:tab w:val="left" w:pos="1531"/>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proofErr w:type="spellStart"/>
            <w:r w:rsidRPr="000A45B1">
              <w:rPr>
                <w:sz w:val="22"/>
                <w:szCs w:val="22"/>
              </w:rPr>
              <w:t>Tenderer</w:t>
            </w:r>
            <w:proofErr w:type="spellEnd"/>
            <w:r w:rsidRPr="000A45B1">
              <w:rPr>
                <w:sz w:val="22"/>
                <w:szCs w:val="22"/>
              </w:rPr>
              <w:t xml:space="preserve"> shall hold at least the following number of authorised licences for 2D/3D drawing software (CAD programs):</w:t>
            </w:r>
          </w:p>
          <w:p w:rsidR="009F1166" w:rsidRPr="000A45B1" w:rsidRDefault="00C477C4" w:rsidP="009F1166">
            <w:pPr>
              <w:pStyle w:val="BodyText"/>
              <w:numPr>
                <w:ilvl w:val="0"/>
                <w:numId w:val="14"/>
              </w:numPr>
              <w:tabs>
                <w:tab w:val="left" w:pos="0"/>
                <w:tab w:val="left" w:pos="1133"/>
                <w:tab w:val="left" w:pos="1531"/>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t xml:space="preserve">for Lot 1: </w:t>
            </w:r>
            <w:r w:rsidR="009F1166" w:rsidRPr="000A45B1">
              <w:rPr>
                <w:sz w:val="22"/>
                <w:szCs w:val="22"/>
              </w:rPr>
              <w:t>3 licences</w:t>
            </w:r>
          </w:p>
          <w:p w:rsidR="009F1166" w:rsidRPr="000A45B1" w:rsidRDefault="00C477C4" w:rsidP="009F1166">
            <w:pPr>
              <w:pStyle w:val="BodyText"/>
              <w:numPr>
                <w:ilvl w:val="0"/>
                <w:numId w:val="14"/>
              </w:numPr>
              <w:tabs>
                <w:tab w:val="left" w:pos="0"/>
                <w:tab w:val="left" w:pos="1133"/>
                <w:tab w:val="left" w:pos="1531"/>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t xml:space="preserve">for Lot 2: </w:t>
            </w:r>
            <w:r w:rsidR="009F1166" w:rsidRPr="000A45B1">
              <w:rPr>
                <w:sz w:val="22"/>
                <w:szCs w:val="22"/>
              </w:rPr>
              <w:t>3 licences</w:t>
            </w:r>
          </w:p>
          <w:p w:rsidR="009F1166" w:rsidRPr="000A45B1" w:rsidRDefault="009F1166" w:rsidP="009F1166">
            <w:pPr>
              <w:pStyle w:val="BodyText"/>
              <w:numPr>
                <w:ilvl w:val="0"/>
                <w:numId w:val="14"/>
              </w:numPr>
              <w:tabs>
                <w:tab w:val="left" w:pos="0"/>
                <w:tab w:val="left" w:pos="1133"/>
                <w:tab w:val="left" w:pos="1531"/>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for Lot 3:</w:t>
            </w:r>
            <w:r w:rsidRPr="000A45B1">
              <w:rPr>
                <w:sz w:val="22"/>
                <w:szCs w:val="22"/>
              </w:rPr>
              <w:tab/>
            </w:r>
            <w:r w:rsidR="00C477C4">
              <w:rPr>
                <w:sz w:val="22"/>
                <w:szCs w:val="22"/>
              </w:rPr>
              <w:t xml:space="preserve"> </w:t>
            </w:r>
            <w:r w:rsidRPr="000A45B1">
              <w:rPr>
                <w:sz w:val="22"/>
                <w:szCs w:val="22"/>
              </w:rPr>
              <w:t>3 licences</w:t>
            </w:r>
          </w:p>
          <w:p w:rsidR="009F1166" w:rsidRPr="000A45B1" w:rsidRDefault="00C477C4" w:rsidP="009F1166">
            <w:pPr>
              <w:pStyle w:val="BodyText"/>
              <w:numPr>
                <w:ilvl w:val="0"/>
                <w:numId w:val="14"/>
              </w:numPr>
              <w:tabs>
                <w:tab w:val="left" w:pos="0"/>
                <w:tab w:val="left" w:pos="1133"/>
                <w:tab w:val="left" w:pos="1531"/>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Pr>
                <w:sz w:val="22"/>
                <w:szCs w:val="22"/>
              </w:rPr>
              <w:t xml:space="preserve">for Lot 4: </w:t>
            </w:r>
            <w:r w:rsidR="009F1166" w:rsidRPr="000A45B1">
              <w:rPr>
                <w:sz w:val="22"/>
                <w:szCs w:val="22"/>
              </w:rPr>
              <w:t>3 licences</w:t>
            </w:r>
          </w:p>
          <w:p w:rsidR="009F1166" w:rsidRPr="000A45B1" w:rsidRDefault="009F1166" w:rsidP="009F1166">
            <w:pPr>
              <w:pStyle w:val="BodyText"/>
              <w:tabs>
                <w:tab w:val="left" w:pos="0"/>
                <w:tab w:val="left" w:pos="1133"/>
                <w:tab w:val="left" w:pos="1531"/>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b/>
                <w:sz w:val="22"/>
                <w:szCs w:val="22"/>
              </w:rPr>
            </w:pPr>
            <w:r w:rsidRPr="000A45B1">
              <w:rPr>
                <w:b/>
                <w:sz w:val="22"/>
                <w:szCs w:val="22"/>
              </w:rPr>
              <w:t xml:space="preserve">If </w:t>
            </w:r>
            <w:proofErr w:type="spellStart"/>
            <w:r w:rsidRPr="000A45B1">
              <w:rPr>
                <w:b/>
                <w:sz w:val="22"/>
                <w:szCs w:val="22"/>
              </w:rPr>
              <w:t>tenderers</w:t>
            </w:r>
            <w:proofErr w:type="spellEnd"/>
            <w:r w:rsidRPr="000A45B1">
              <w:rPr>
                <w:b/>
                <w:sz w:val="22"/>
                <w:szCs w:val="22"/>
              </w:rPr>
              <w:t xml:space="preserve"> submit tenders for more than one lot, they shall have at least a sum of minimal number of licences for lots they are competing for.</w:t>
            </w:r>
          </w:p>
          <w:p w:rsidR="009F1166" w:rsidRPr="000A45B1" w:rsidRDefault="009F1166" w:rsidP="009F1166">
            <w:pPr>
              <w:pStyle w:val="BodyText"/>
              <w:tabs>
                <w:tab w:val="left" w:pos="0"/>
                <w:tab w:val="left" w:pos="1133"/>
                <w:tab w:val="left" w:pos="1531"/>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 xml:space="preserve">Group of </w:t>
            </w:r>
            <w:proofErr w:type="spellStart"/>
            <w:r w:rsidRPr="000A45B1">
              <w:rPr>
                <w:sz w:val="22"/>
                <w:szCs w:val="22"/>
              </w:rPr>
              <w:t>tenderers</w:t>
            </w:r>
            <w:proofErr w:type="spellEnd"/>
            <w:r w:rsidRPr="000A45B1">
              <w:rPr>
                <w:sz w:val="22"/>
                <w:szCs w:val="22"/>
              </w:rPr>
              <w:t xml:space="preserve">: Leading member of the group of </w:t>
            </w:r>
            <w:proofErr w:type="spellStart"/>
            <w:r w:rsidRPr="000A45B1">
              <w:rPr>
                <w:sz w:val="22"/>
                <w:szCs w:val="22"/>
              </w:rPr>
              <w:t>tenderers</w:t>
            </w:r>
            <w:proofErr w:type="spellEnd"/>
            <w:r w:rsidRPr="000A45B1">
              <w:rPr>
                <w:sz w:val="22"/>
                <w:szCs w:val="22"/>
              </w:rPr>
              <w:t xml:space="preserve"> shall fulfil at least 50% of the listed conditions. </w:t>
            </w:r>
          </w:p>
          <w:p w:rsidR="009F1166" w:rsidRPr="000A45B1" w:rsidRDefault="009F1166" w:rsidP="009F1166">
            <w:pPr>
              <w:pStyle w:val="BodyText"/>
              <w:numPr>
                <w:ilvl w:val="0"/>
                <w:numId w:val="15"/>
              </w:numPr>
              <w:tabs>
                <w:tab w:val="left" w:pos="0"/>
                <w:tab w:val="left" w:pos="1133"/>
                <w:tab w:val="left" w:pos="1531"/>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proofErr w:type="spellStart"/>
            <w:r w:rsidRPr="000A45B1">
              <w:rPr>
                <w:sz w:val="22"/>
                <w:szCs w:val="22"/>
              </w:rPr>
              <w:t>Tenderer</w:t>
            </w:r>
            <w:proofErr w:type="spellEnd"/>
            <w:r w:rsidRPr="000A45B1">
              <w:rPr>
                <w:sz w:val="22"/>
                <w:szCs w:val="22"/>
              </w:rPr>
              <w:t xml:space="preserve"> must hold valid certificate for ISO 9001:2008, area of: Design Development.</w:t>
            </w:r>
          </w:p>
          <w:p w:rsidR="002D6E25" w:rsidRPr="000A45B1" w:rsidRDefault="009F1166" w:rsidP="00801519">
            <w:pPr>
              <w:pStyle w:val="BodyText"/>
              <w:tabs>
                <w:tab w:val="left" w:pos="0"/>
                <w:tab w:val="left" w:pos="1133"/>
                <w:tab w:val="left" w:pos="1531"/>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681"/>
              <w:jc w:val="both"/>
              <w:outlineLvl w:val="3"/>
              <w:rPr>
                <w:sz w:val="22"/>
                <w:szCs w:val="22"/>
              </w:rPr>
            </w:pPr>
            <w:r w:rsidRPr="000A45B1">
              <w:rPr>
                <w:sz w:val="22"/>
                <w:szCs w:val="22"/>
              </w:rPr>
              <w:t xml:space="preserve">Group of </w:t>
            </w:r>
            <w:proofErr w:type="spellStart"/>
            <w:r w:rsidRPr="000A45B1">
              <w:rPr>
                <w:sz w:val="22"/>
                <w:szCs w:val="22"/>
              </w:rPr>
              <w:t>tenderers</w:t>
            </w:r>
            <w:proofErr w:type="spellEnd"/>
            <w:r w:rsidRPr="000A45B1">
              <w:rPr>
                <w:sz w:val="22"/>
                <w:szCs w:val="22"/>
              </w:rPr>
              <w:t xml:space="preserve">: One member of the group of </w:t>
            </w:r>
            <w:proofErr w:type="spellStart"/>
            <w:r w:rsidRPr="000A45B1">
              <w:rPr>
                <w:sz w:val="22"/>
                <w:szCs w:val="22"/>
              </w:rPr>
              <w:t>tenderers</w:t>
            </w:r>
            <w:proofErr w:type="spellEnd"/>
            <w:r w:rsidRPr="000A45B1">
              <w:rPr>
                <w:sz w:val="22"/>
                <w:szCs w:val="22"/>
              </w:rPr>
              <w:t xml:space="preserve"> must fulfil the above mentioned conditions.</w:t>
            </w:r>
          </w:p>
        </w:tc>
      </w:tr>
      <w:tr w:rsidR="002D6E25" w:rsidRPr="000A45B1" w:rsidTr="009C6217">
        <w:trPr>
          <w:trHeight w:val="226"/>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9C6217">
        <w:trPr>
          <w:trHeight w:val="745"/>
        </w:trPr>
        <w:tc>
          <w:tcPr>
            <w:tcW w:w="383" w:type="pct"/>
            <w:shd w:val="clear" w:color="auto" w:fill="FFFFFF"/>
            <w:tcMar>
              <w:top w:w="0" w:type="dxa"/>
              <w:left w:w="108" w:type="dxa"/>
              <w:bottom w:w="0" w:type="dxa"/>
              <w:right w:w="108" w:type="dxa"/>
            </w:tcMar>
          </w:tcPr>
          <w:p w:rsidR="002D6E25" w:rsidRPr="000A45B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801519" w:rsidP="00801519">
            <w:pPr>
              <w:spacing w:before="60" w:after="60" w:line="240" w:lineRule="auto"/>
              <w:rPr>
                <w:rFonts w:ascii="Times New Roman" w:hAnsi="Times New Roman" w:cs="Times New Roman"/>
              </w:rPr>
            </w:pPr>
            <w:r w:rsidRPr="000A45B1">
              <w:rPr>
                <w:rFonts w:ascii="Times New Roman" w:hAnsi="Times New Roman" w:cs="Times New Roman"/>
              </w:rPr>
              <w:t>Award criteria (lowest price or most economically advantageous tender), elements of award criteria if most economically advantageous tender criteria is to be used</w:t>
            </w:r>
            <w:r w:rsidR="004511C2" w:rsidRPr="000A45B1">
              <w:rPr>
                <w:rFonts w:ascii="Times New Roman" w:hAnsi="Times New Roman" w:cs="Times New Roman"/>
              </w:rPr>
              <w:t>:</w:t>
            </w:r>
          </w:p>
        </w:tc>
      </w:tr>
      <w:tr w:rsidR="002D6E25" w:rsidRPr="000A45B1" w:rsidTr="009C6217">
        <w:trPr>
          <w:trHeight w:val="1720"/>
        </w:trPr>
        <w:tc>
          <w:tcPr>
            <w:tcW w:w="383" w:type="pct"/>
            <w:shd w:val="clear" w:color="auto" w:fill="FFFFFF"/>
            <w:tcMar>
              <w:top w:w="0" w:type="dxa"/>
              <w:left w:w="108" w:type="dxa"/>
              <w:bottom w:w="0" w:type="dxa"/>
              <w:right w:w="108" w:type="dxa"/>
            </w:tcMar>
          </w:tcPr>
          <w:p w:rsidR="002D6E25" w:rsidRPr="000A45B1" w:rsidRDefault="002D6E25" w:rsidP="00185968">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801519" w:rsidRPr="000A45B1" w:rsidRDefault="00801519" w:rsidP="00801519">
            <w:pPr>
              <w:spacing w:before="60" w:after="60" w:line="240" w:lineRule="auto"/>
              <w:rPr>
                <w:rFonts w:ascii="Times New Roman" w:hAnsi="Times New Roman" w:cs="Times New Roman"/>
              </w:rPr>
            </w:pPr>
            <w:r w:rsidRPr="000A45B1">
              <w:rPr>
                <w:rFonts w:ascii="Times New Roman" w:hAnsi="Times New Roman" w:cs="Times New Roman"/>
              </w:rPr>
              <w:t>Criteria for economically most advantageous tender shall be based on the following elements:</w:t>
            </w:r>
          </w:p>
          <w:tbl>
            <w:tblPr>
              <w:tblStyle w:val="TableGrid"/>
              <w:tblW w:w="0" w:type="auto"/>
              <w:tblInd w:w="108" w:type="dxa"/>
              <w:tblLook w:val="04A0"/>
            </w:tblPr>
            <w:tblGrid>
              <w:gridCol w:w="696"/>
              <w:gridCol w:w="4918"/>
              <w:gridCol w:w="2800"/>
            </w:tblGrid>
            <w:tr w:rsidR="00801519" w:rsidRPr="000A45B1" w:rsidTr="00A90FD2">
              <w:tc>
                <w:tcPr>
                  <w:tcW w:w="696" w:type="dxa"/>
                  <w:shd w:val="clear" w:color="auto" w:fill="D9D9D9" w:themeFill="background1" w:themeFillShade="D9"/>
                </w:tcPr>
                <w:p w:rsidR="00801519" w:rsidRPr="000A45B1" w:rsidRDefault="00801519" w:rsidP="00801519">
                  <w:pPr>
                    <w:spacing w:before="60" w:after="60"/>
                    <w:rPr>
                      <w:rFonts w:ascii="Times New Roman" w:hAnsi="Times New Roman" w:cs="Times New Roman"/>
                      <w:b/>
                    </w:rPr>
                  </w:pPr>
                  <w:r w:rsidRPr="000A45B1">
                    <w:rPr>
                      <w:rFonts w:ascii="Times New Roman" w:hAnsi="Times New Roman" w:cs="Times New Roman"/>
                      <w:b/>
                    </w:rPr>
                    <w:t>No.</w:t>
                  </w:r>
                </w:p>
              </w:tc>
              <w:tc>
                <w:tcPr>
                  <w:tcW w:w="4918" w:type="dxa"/>
                  <w:shd w:val="clear" w:color="auto" w:fill="D9D9D9" w:themeFill="background1" w:themeFillShade="D9"/>
                </w:tcPr>
                <w:p w:rsidR="00801519" w:rsidRPr="000A45B1" w:rsidRDefault="00801519" w:rsidP="00801519">
                  <w:pPr>
                    <w:spacing w:before="60" w:after="60"/>
                    <w:rPr>
                      <w:rFonts w:ascii="Times New Roman" w:hAnsi="Times New Roman" w:cs="Times New Roman"/>
                      <w:b/>
                    </w:rPr>
                  </w:pPr>
                  <w:r w:rsidRPr="000A45B1">
                    <w:rPr>
                      <w:rFonts w:ascii="Times New Roman" w:hAnsi="Times New Roman" w:cs="Times New Roman"/>
                      <w:b/>
                    </w:rPr>
                    <w:t>Criteria elements</w:t>
                  </w:r>
                </w:p>
              </w:tc>
              <w:tc>
                <w:tcPr>
                  <w:tcW w:w="2800" w:type="dxa"/>
                  <w:shd w:val="clear" w:color="auto" w:fill="D9D9D9" w:themeFill="background1" w:themeFillShade="D9"/>
                </w:tcPr>
                <w:p w:rsidR="00801519" w:rsidRPr="000A45B1" w:rsidRDefault="00801519" w:rsidP="00801519">
                  <w:pPr>
                    <w:spacing w:before="60" w:after="60"/>
                    <w:rPr>
                      <w:rFonts w:ascii="Times New Roman" w:hAnsi="Times New Roman" w:cs="Times New Roman"/>
                      <w:b/>
                    </w:rPr>
                  </w:pPr>
                  <w:r w:rsidRPr="000A45B1">
                    <w:rPr>
                      <w:rFonts w:ascii="Times New Roman" w:hAnsi="Times New Roman" w:cs="Times New Roman"/>
                      <w:b/>
                    </w:rPr>
                    <w:t>Maximal score</w:t>
                  </w:r>
                </w:p>
              </w:tc>
            </w:tr>
            <w:tr w:rsidR="00801519" w:rsidRPr="000A45B1" w:rsidTr="00A90FD2">
              <w:tc>
                <w:tcPr>
                  <w:tcW w:w="696" w:type="dxa"/>
                </w:tcPr>
                <w:p w:rsidR="00801519" w:rsidRPr="000A45B1" w:rsidRDefault="00801519" w:rsidP="00801519">
                  <w:pPr>
                    <w:spacing w:before="60" w:after="60"/>
                    <w:rPr>
                      <w:rFonts w:ascii="Times New Roman" w:hAnsi="Times New Roman" w:cs="Times New Roman"/>
                      <w:b/>
                    </w:rPr>
                  </w:pPr>
                  <w:r w:rsidRPr="000A45B1">
                    <w:rPr>
                      <w:rFonts w:ascii="Times New Roman" w:hAnsi="Times New Roman" w:cs="Times New Roman"/>
                      <w:b/>
                    </w:rPr>
                    <w:t>1.</w:t>
                  </w:r>
                </w:p>
              </w:tc>
              <w:tc>
                <w:tcPr>
                  <w:tcW w:w="4918" w:type="dxa"/>
                </w:tcPr>
                <w:p w:rsidR="00801519" w:rsidRPr="000A45B1" w:rsidRDefault="00801519" w:rsidP="00801519">
                  <w:pPr>
                    <w:spacing w:before="60" w:after="60"/>
                    <w:rPr>
                      <w:rFonts w:ascii="Times New Roman" w:hAnsi="Times New Roman" w:cs="Times New Roman"/>
                    </w:rPr>
                  </w:pPr>
                  <w:r w:rsidRPr="000A45B1">
                    <w:rPr>
                      <w:rFonts w:ascii="Times New Roman" w:hAnsi="Times New Roman" w:cs="Times New Roman"/>
                    </w:rPr>
                    <w:t>Key experts</w:t>
                  </w:r>
                </w:p>
              </w:tc>
              <w:tc>
                <w:tcPr>
                  <w:tcW w:w="2800" w:type="dxa"/>
                </w:tcPr>
                <w:p w:rsidR="00801519" w:rsidRPr="000A45B1" w:rsidRDefault="00801519" w:rsidP="00801519">
                  <w:pPr>
                    <w:spacing w:before="60" w:after="60"/>
                    <w:rPr>
                      <w:rFonts w:ascii="Times New Roman" w:hAnsi="Times New Roman" w:cs="Times New Roman"/>
                      <w:b/>
                    </w:rPr>
                  </w:pPr>
                  <w:r w:rsidRPr="000A45B1">
                    <w:rPr>
                      <w:rFonts w:ascii="Times New Roman" w:hAnsi="Times New Roman" w:cs="Times New Roman"/>
                      <w:b/>
                    </w:rPr>
                    <w:t>50 points</w:t>
                  </w:r>
                </w:p>
              </w:tc>
            </w:tr>
            <w:tr w:rsidR="00801519" w:rsidRPr="000A45B1" w:rsidTr="00A90FD2">
              <w:tc>
                <w:tcPr>
                  <w:tcW w:w="696" w:type="dxa"/>
                </w:tcPr>
                <w:p w:rsidR="00801519" w:rsidRPr="000A45B1" w:rsidRDefault="00801519" w:rsidP="00801519">
                  <w:pPr>
                    <w:spacing w:before="60" w:after="60"/>
                    <w:rPr>
                      <w:rFonts w:ascii="Times New Roman" w:hAnsi="Times New Roman" w:cs="Times New Roman"/>
                      <w:b/>
                    </w:rPr>
                  </w:pPr>
                  <w:r w:rsidRPr="000A45B1">
                    <w:rPr>
                      <w:rFonts w:ascii="Times New Roman" w:hAnsi="Times New Roman" w:cs="Times New Roman"/>
                      <w:b/>
                    </w:rPr>
                    <w:t>2.</w:t>
                  </w:r>
                </w:p>
              </w:tc>
              <w:tc>
                <w:tcPr>
                  <w:tcW w:w="4918" w:type="dxa"/>
                </w:tcPr>
                <w:p w:rsidR="00801519" w:rsidRPr="000A45B1" w:rsidRDefault="00801519" w:rsidP="00801519">
                  <w:pPr>
                    <w:spacing w:before="60" w:after="60"/>
                    <w:rPr>
                      <w:rFonts w:ascii="Times New Roman" w:hAnsi="Times New Roman" w:cs="Times New Roman"/>
                    </w:rPr>
                  </w:pPr>
                  <w:r w:rsidRPr="000A45B1">
                    <w:rPr>
                      <w:rFonts w:ascii="Times New Roman" w:hAnsi="Times New Roman" w:cs="Times New Roman"/>
                    </w:rPr>
                    <w:t>Offered price</w:t>
                  </w:r>
                </w:p>
              </w:tc>
              <w:tc>
                <w:tcPr>
                  <w:tcW w:w="2800" w:type="dxa"/>
                </w:tcPr>
                <w:p w:rsidR="00801519" w:rsidRPr="000A45B1" w:rsidRDefault="00801519" w:rsidP="00801519">
                  <w:pPr>
                    <w:spacing w:before="60" w:after="60"/>
                    <w:rPr>
                      <w:rFonts w:ascii="Times New Roman" w:hAnsi="Times New Roman" w:cs="Times New Roman"/>
                      <w:b/>
                    </w:rPr>
                  </w:pPr>
                  <w:r w:rsidRPr="000A45B1">
                    <w:rPr>
                      <w:rFonts w:ascii="Times New Roman" w:hAnsi="Times New Roman" w:cs="Times New Roman"/>
                      <w:b/>
                    </w:rPr>
                    <w:t>50 points</w:t>
                  </w:r>
                </w:p>
              </w:tc>
            </w:tr>
            <w:tr w:rsidR="00801519" w:rsidRPr="000A45B1" w:rsidTr="00A90FD2">
              <w:tc>
                <w:tcPr>
                  <w:tcW w:w="696" w:type="dxa"/>
                  <w:shd w:val="clear" w:color="auto" w:fill="D9D9D9" w:themeFill="background1" w:themeFillShade="D9"/>
                </w:tcPr>
                <w:p w:rsidR="00801519" w:rsidRPr="000A45B1" w:rsidRDefault="00801519" w:rsidP="00801519">
                  <w:pPr>
                    <w:spacing w:before="60" w:after="60"/>
                    <w:rPr>
                      <w:rFonts w:ascii="Times New Roman" w:hAnsi="Times New Roman" w:cs="Times New Roman"/>
                      <w:b/>
                      <w:sz w:val="22"/>
                      <w:szCs w:val="22"/>
                    </w:rPr>
                  </w:pPr>
                </w:p>
              </w:tc>
              <w:tc>
                <w:tcPr>
                  <w:tcW w:w="4918" w:type="dxa"/>
                  <w:shd w:val="clear" w:color="auto" w:fill="D9D9D9" w:themeFill="background1" w:themeFillShade="D9"/>
                </w:tcPr>
                <w:p w:rsidR="00801519" w:rsidRPr="000A45B1" w:rsidRDefault="00801519" w:rsidP="00801519">
                  <w:pPr>
                    <w:spacing w:before="60" w:after="60"/>
                    <w:rPr>
                      <w:rFonts w:ascii="Times New Roman" w:hAnsi="Times New Roman" w:cs="Times New Roman"/>
                      <w:b/>
                    </w:rPr>
                  </w:pPr>
                  <w:r w:rsidRPr="000A45B1">
                    <w:rPr>
                      <w:rFonts w:ascii="Times New Roman" w:hAnsi="Times New Roman" w:cs="Times New Roman"/>
                      <w:b/>
                    </w:rPr>
                    <w:t xml:space="preserve">Total </w:t>
                  </w:r>
                </w:p>
              </w:tc>
              <w:tc>
                <w:tcPr>
                  <w:tcW w:w="2800" w:type="dxa"/>
                  <w:shd w:val="clear" w:color="auto" w:fill="D9D9D9" w:themeFill="background1" w:themeFillShade="D9"/>
                </w:tcPr>
                <w:p w:rsidR="00801519" w:rsidRPr="000A45B1" w:rsidRDefault="00801519" w:rsidP="00801519">
                  <w:pPr>
                    <w:spacing w:before="60" w:after="60"/>
                    <w:rPr>
                      <w:rFonts w:ascii="Times New Roman" w:hAnsi="Times New Roman" w:cs="Times New Roman"/>
                      <w:b/>
                    </w:rPr>
                  </w:pPr>
                  <w:r w:rsidRPr="000A45B1">
                    <w:rPr>
                      <w:rFonts w:ascii="Times New Roman" w:hAnsi="Times New Roman" w:cs="Times New Roman"/>
                      <w:b/>
                    </w:rPr>
                    <w:t>100 points</w:t>
                  </w:r>
                </w:p>
              </w:tc>
            </w:tr>
          </w:tbl>
          <w:p w:rsidR="00185968" w:rsidRPr="000A45B1" w:rsidRDefault="00185968" w:rsidP="00185968">
            <w:pPr>
              <w:spacing w:before="60" w:after="60" w:line="240" w:lineRule="auto"/>
              <w:rPr>
                <w:rFonts w:ascii="Times New Roman" w:hAnsi="Times New Roman" w:cs="Times New Roman"/>
                <w:color w:val="auto"/>
              </w:rPr>
            </w:pPr>
          </w:p>
        </w:tc>
      </w:tr>
      <w:tr w:rsidR="002D6E25" w:rsidRPr="000A45B1" w:rsidTr="009C6217">
        <w:trPr>
          <w:trHeight w:val="236"/>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421C6D">
        <w:trPr>
          <w:trHeight w:val="745"/>
        </w:trPr>
        <w:tc>
          <w:tcPr>
            <w:tcW w:w="383" w:type="pct"/>
            <w:shd w:val="clear" w:color="auto" w:fill="FFFFFF"/>
            <w:tcMar>
              <w:top w:w="0" w:type="dxa"/>
              <w:left w:w="108" w:type="dxa"/>
              <w:bottom w:w="0" w:type="dxa"/>
              <w:right w:w="108" w:type="dxa"/>
            </w:tcMar>
          </w:tcPr>
          <w:p w:rsidR="002D6E25" w:rsidRPr="000A45B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0A45B1" w:rsidRDefault="00417B06" w:rsidP="00417B06">
            <w:pPr>
              <w:spacing w:before="60" w:after="60" w:line="240" w:lineRule="auto"/>
              <w:rPr>
                <w:rFonts w:ascii="Times New Roman" w:hAnsi="Times New Roman" w:cs="Times New Roman"/>
              </w:rPr>
            </w:pPr>
            <w:r w:rsidRPr="000A45B1">
              <w:rPr>
                <w:rFonts w:ascii="Times New Roman" w:hAnsi="Times New Roman" w:cs="Times New Roman"/>
              </w:rPr>
              <w:t>Access to tender documents, internet address where tender documents can be downloaded:</w:t>
            </w:r>
            <w:r w:rsidR="004511C2" w:rsidRPr="000A45B1">
              <w:rPr>
                <w:rFonts w:ascii="Times New Roman" w:hAnsi="Times New Roman" w:cs="Times New Roman"/>
              </w:rPr>
              <w:t xml:space="preserve"> </w:t>
            </w:r>
          </w:p>
        </w:tc>
        <w:tc>
          <w:tcPr>
            <w:tcW w:w="2796" w:type="pct"/>
            <w:shd w:val="clear" w:color="auto" w:fill="C6D9F1"/>
            <w:tcMar>
              <w:top w:w="0" w:type="dxa"/>
              <w:left w:w="108" w:type="dxa"/>
              <w:bottom w:w="0" w:type="dxa"/>
              <w:right w:w="108" w:type="dxa"/>
            </w:tcMar>
          </w:tcPr>
          <w:p w:rsidR="00687B7F" w:rsidRPr="000A45B1" w:rsidRDefault="00F03715" w:rsidP="00687B7F">
            <w:pPr>
              <w:spacing w:before="60" w:after="60" w:line="240" w:lineRule="auto"/>
              <w:rPr>
                <w:rFonts w:ascii="Times New Roman" w:hAnsi="Times New Roman" w:cs="Times New Roman"/>
              </w:rPr>
            </w:pPr>
            <w:hyperlink r:id="rId10" w:history="1">
              <w:r w:rsidR="00380CD7" w:rsidRPr="000A45B1">
                <w:rPr>
                  <w:rFonts w:ascii="Times New Roman" w:hAnsi="Times New Roman" w:cs="Times New Roman"/>
                </w:rPr>
                <w:t>http://www.piu.rs</w:t>
              </w:r>
            </w:hyperlink>
          </w:p>
          <w:p w:rsidR="00380CD7" w:rsidRPr="000A45B1" w:rsidRDefault="00F03715" w:rsidP="000A1FA5">
            <w:pPr>
              <w:spacing w:before="60" w:after="60" w:line="240" w:lineRule="auto"/>
              <w:rPr>
                <w:rFonts w:ascii="Times New Roman" w:hAnsi="Times New Roman" w:cs="Times New Roman"/>
              </w:rPr>
            </w:pPr>
            <w:hyperlink r:id="rId11" w:history="1">
              <w:r w:rsidR="00380CD7" w:rsidRPr="000A45B1">
                <w:rPr>
                  <w:rFonts w:ascii="Times New Roman" w:hAnsi="Times New Roman" w:cs="Times New Roman"/>
                </w:rPr>
                <w:t>http://portal.ujn.gov.rs</w:t>
              </w:r>
            </w:hyperlink>
          </w:p>
        </w:tc>
      </w:tr>
      <w:tr w:rsidR="002D6E25" w:rsidRPr="000A45B1" w:rsidTr="009C6217">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9C6217">
        <w:tc>
          <w:tcPr>
            <w:tcW w:w="383" w:type="pct"/>
            <w:shd w:val="clear" w:color="auto" w:fill="FFFFFF"/>
            <w:tcMar>
              <w:top w:w="0" w:type="dxa"/>
              <w:left w:w="108" w:type="dxa"/>
              <w:bottom w:w="0" w:type="dxa"/>
              <w:right w:w="108" w:type="dxa"/>
            </w:tcMar>
          </w:tcPr>
          <w:p w:rsidR="002D6E25" w:rsidRPr="000A45B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417B06" w:rsidP="00417B06">
            <w:pPr>
              <w:spacing w:before="60" w:after="60" w:line="240" w:lineRule="auto"/>
              <w:rPr>
                <w:rFonts w:ascii="Times New Roman" w:hAnsi="Times New Roman" w:cs="Times New Roman"/>
              </w:rPr>
            </w:pPr>
            <w:r w:rsidRPr="000A45B1">
              <w:rPr>
                <w:rFonts w:ascii="Times New Roman" w:hAnsi="Times New Roman" w:cs="Times New Roman"/>
              </w:rPr>
              <w:t>Address and web page of state, regional and local authority where information about taxes, environmental protection, employment and working conditions can be found</w:t>
            </w:r>
            <w:r w:rsidR="004511C2" w:rsidRPr="000A45B1">
              <w:rPr>
                <w:rFonts w:ascii="Times New Roman" w:hAnsi="Times New Roman" w:cs="Times New Roman"/>
              </w:rPr>
              <w:t>:</w:t>
            </w:r>
          </w:p>
        </w:tc>
      </w:tr>
      <w:tr w:rsidR="002D6E25" w:rsidRPr="000A45B1" w:rsidTr="00623D43">
        <w:trPr>
          <w:trHeight w:val="992"/>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9C6217">
        <w:trPr>
          <w:trHeight w:val="343"/>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421C6D">
        <w:trPr>
          <w:trHeight w:val="745"/>
        </w:trPr>
        <w:tc>
          <w:tcPr>
            <w:tcW w:w="383" w:type="pct"/>
            <w:shd w:val="clear" w:color="auto" w:fill="FFFFFF"/>
            <w:tcMar>
              <w:top w:w="0" w:type="dxa"/>
              <w:left w:w="108" w:type="dxa"/>
              <w:bottom w:w="0" w:type="dxa"/>
              <w:right w:w="108" w:type="dxa"/>
            </w:tcMar>
          </w:tcPr>
          <w:p w:rsidR="002D6E25" w:rsidRPr="000A45B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0A45B1" w:rsidRDefault="003762E4" w:rsidP="003762E4">
            <w:pPr>
              <w:spacing w:before="60" w:after="60" w:line="240" w:lineRule="auto"/>
              <w:rPr>
                <w:rFonts w:ascii="Times New Roman" w:hAnsi="Times New Roman" w:cs="Times New Roman"/>
              </w:rPr>
            </w:pPr>
            <w:r w:rsidRPr="000A45B1">
              <w:rPr>
                <w:rFonts w:ascii="Times New Roman" w:hAnsi="Times New Roman" w:cs="Times New Roman"/>
              </w:rPr>
              <w:t>Submission of tenders, deadline for submission of tenders</w:t>
            </w:r>
            <w:r w:rsidR="004511C2" w:rsidRPr="000A45B1">
              <w:rPr>
                <w:rFonts w:ascii="Times New Roman" w:hAnsi="Times New Roman" w:cs="Times New Roman"/>
              </w:rPr>
              <w:t>:</w:t>
            </w:r>
          </w:p>
        </w:tc>
        <w:tc>
          <w:tcPr>
            <w:tcW w:w="2796" w:type="pct"/>
            <w:shd w:val="clear" w:color="auto" w:fill="C6D9F1"/>
            <w:tcMar>
              <w:top w:w="0" w:type="dxa"/>
              <w:left w:w="108" w:type="dxa"/>
              <w:bottom w:w="0" w:type="dxa"/>
              <w:right w:w="108" w:type="dxa"/>
            </w:tcMar>
          </w:tcPr>
          <w:p w:rsidR="008F62E9" w:rsidRPr="00C477C4" w:rsidRDefault="003762E4" w:rsidP="00790B38">
            <w:pPr>
              <w:spacing w:before="60" w:after="60" w:line="240" w:lineRule="auto"/>
              <w:jc w:val="both"/>
              <w:rPr>
                <w:rFonts w:ascii="Times New Roman" w:hAnsi="Times New Roman" w:cs="Times New Roman"/>
              </w:rPr>
            </w:pPr>
            <w:r w:rsidRPr="00C477C4">
              <w:rPr>
                <w:rFonts w:ascii="Times New Roman" w:hAnsi="Times New Roman" w:cs="Times New Roman"/>
              </w:rPr>
              <w:t xml:space="preserve">Tenders should be </w:t>
            </w:r>
            <w:r w:rsidR="000A45B1" w:rsidRPr="00C477C4">
              <w:rPr>
                <w:rFonts w:ascii="Times New Roman" w:hAnsi="Times New Roman" w:cs="Times New Roman"/>
              </w:rPr>
              <w:t>submitted</w:t>
            </w:r>
            <w:r w:rsidRPr="00C477C4">
              <w:rPr>
                <w:rFonts w:ascii="Times New Roman" w:hAnsi="Times New Roman" w:cs="Times New Roman"/>
              </w:rPr>
              <w:t xml:space="preserve"> as registered letter with return note, or in case of personal submission, with the submitted receipt of the tender</w:t>
            </w:r>
            <w:r w:rsidR="008F62E9" w:rsidRPr="00C477C4">
              <w:rPr>
                <w:rFonts w:ascii="Times New Roman" w:hAnsi="Times New Roman" w:cs="Times New Roman"/>
              </w:rPr>
              <w:t xml:space="preserve">. </w:t>
            </w:r>
          </w:p>
          <w:p w:rsidR="00790B38" w:rsidRPr="00C477C4" w:rsidRDefault="003762E4" w:rsidP="00790B38">
            <w:pPr>
              <w:spacing w:before="60" w:after="60" w:line="240" w:lineRule="auto"/>
              <w:jc w:val="both"/>
              <w:rPr>
                <w:rFonts w:ascii="Times New Roman" w:hAnsi="Times New Roman" w:cs="Times New Roman"/>
              </w:rPr>
            </w:pPr>
            <w:r w:rsidRPr="00C477C4">
              <w:rPr>
                <w:rFonts w:ascii="Times New Roman" w:hAnsi="Times New Roman" w:cs="Times New Roman"/>
              </w:rPr>
              <w:t>Tender shall be submitted to the following address</w:t>
            </w:r>
            <w:r w:rsidR="00790B38" w:rsidRPr="00C477C4">
              <w:rPr>
                <w:rFonts w:ascii="Times New Roman" w:hAnsi="Times New Roman" w:cs="Times New Roman"/>
              </w:rPr>
              <w:t xml:space="preserve">: </w:t>
            </w:r>
            <w:r w:rsidR="00E67A14">
              <w:rPr>
                <w:rFonts w:ascii="Times New Roman" w:hAnsi="Times New Roman" w:cs="Times New Roman"/>
              </w:rPr>
              <w:t xml:space="preserve">JUP </w:t>
            </w:r>
            <w:proofErr w:type="spellStart"/>
            <w:r w:rsidR="00E67A14">
              <w:rPr>
                <w:rFonts w:ascii="Times New Roman" w:hAnsi="Times New Roman" w:cs="Times New Roman"/>
              </w:rPr>
              <w:t>Istraživanje</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i</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razvoj</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d.o.o</w:t>
            </w:r>
            <w:proofErr w:type="spellEnd"/>
            <w:r w:rsidR="00E67A14">
              <w:rPr>
                <w:rFonts w:ascii="Times New Roman" w:hAnsi="Times New Roman" w:cs="Times New Roman"/>
              </w:rPr>
              <w:t xml:space="preserve">. Beograd, </w:t>
            </w:r>
            <w:proofErr w:type="spellStart"/>
            <w:r w:rsidR="00F5074E" w:rsidRPr="00C477C4">
              <w:rPr>
                <w:rFonts w:ascii="Times New Roman" w:hAnsi="Times New Roman" w:cs="Times New Roman"/>
              </w:rPr>
              <w:t>Veljka</w:t>
            </w:r>
            <w:proofErr w:type="spellEnd"/>
            <w:r w:rsidR="00790B38" w:rsidRPr="00C477C4">
              <w:rPr>
                <w:rFonts w:ascii="Times New Roman" w:hAnsi="Times New Roman" w:cs="Times New Roman"/>
              </w:rPr>
              <w:t xml:space="preserve"> </w:t>
            </w:r>
            <w:proofErr w:type="spellStart"/>
            <w:r w:rsidR="00F5074E" w:rsidRPr="00C477C4">
              <w:rPr>
                <w:rFonts w:ascii="Times New Roman" w:hAnsi="Times New Roman" w:cs="Times New Roman"/>
              </w:rPr>
              <w:t>Dugoševića</w:t>
            </w:r>
            <w:proofErr w:type="spellEnd"/>
            <w:r w:rsidR="00790B38" w:rsidRPr="00C477C4">
              <w:rPr>
                <w:rFonts w:ascii="Times New Roman" w:hAnsi="Times New Roman" w:cs="Times New Roman"/>
              </w:rPr>
              <w:t xml:space="preserve"> 54, </w:t>
            </w:r>
            <w:r w:rsidRPr="00C477C4">
              <w:rPr>
                <w:rFonts w:ascii="Times New Roman" w:hAnsi="Times New Roman" w:cs="Times New Roman"/>
              </w:rPr>
              <w:t>fourth floor</w:t>
            </w:r>
            <w:r w:rsidR="00610360" w:rsidRPr="00C477C4">
              <w:rPr>
                <w:rFonts w:ascii="Times New Roman" w:hAnsi="Times New Roman" w:cs="Times New Roman"/>
              </w:rPr>
              <w:t xml:space="preserve"> </w:t>
            </w:r>
            <w:r w:rsidRPr="00C477C4">
              <w:rPr>
                <w:rFonts w:ascii="Times New Roman" w:hAnsi="Times New Roman" w:cs="Times New Roman"/>
              </w:rPr>
              <w:t>–</w:t>
            </w:r>
            <w:r w:rsidR="00610360" w:rsidRPr="00C477C4">
              <w:rPr>
                <w:rFonts w:ascii="Times New Roman" w:hAnsi="Times New Roman" w:cs="Times New Roman"/>
              </w:rPr>
              <w:t xml:space="preserve"> </w:t>
            </w:r>
            <w:r w:rsidRPr="00C477C4">
              <w:rPr>
                <w:rFonts w:ascii="Times New Roman" w:hAnsi="Times New Roman" w:cs="Times New Roman"/>
              </w:rPr>
              <w:t>register’s office</w:t>
            </w:r>
            <w:r w:rsidR="00790B38" w:rsidRPr="00C477C4">
              <w:rPr>
                <w:rFonts w:ascii="Times New Roman" w:hAnsi="Times New Roman" w:cs="Times New Roman"/>
              </w:rPr>
              <w:t xml:space="preserve">, 11000, </w:t>
            </w:r>
            <w:r w:rsidRPr="00C477C4">
              <w:rPr>
                <w:rFonts w:ascii="Times New Roman" w:hAnsi="Times New Roman" w:cs="Times New Roman"/>
              </w:rPr>
              <w:t>Belgrade, Serbia</w:t>
            </w:r>
            <w:r w:rsidR="008F62E9" w:rsidRPr="00C477C4">
              <w:rPr>
                <w:rFonts w:ascii="Times New Roman" w:hAnsi="Times New Roman" w:cs="Times New Roman"/>
              </w:rPr>
              <w:t>.</w:t>
            </w:r>
          </w:p>
          <w:p w:rsidR="00790B38" w:rsidRPr="00C477C4" w:rsidRDefault="003762E4" w:rsidP="00790B38">
            <w:pPr>
              <w:spacing w:before="60" w:after="60" w:line="240" w:lineRule="auto"/>
              <w:jc w:val="both"/>
              <w:rPr>
                <w:rFonts w:ascii="Times New Roman" w:hAnsi="Times New Roman" w:cs="Times New Roman"/>
              </w:rPr>
            </w:pPr>
            <w:r w:rsidRPr="00C477C4">
              <w:rPr>
                <w:rFonts w:ascii="Times New Roman" w:hAnsi="Times New Roman" w:cs="Times New Roman"/>
              </w:rPr>
              <w:t>If the tender is submitted in person, the delivery address is</w:t>
            </w:r>
            <w:r w:rsidR="00E67A14" w:rsidRPr="00C477C4">
              <w:rPr>
                <w:rFonts w:ascii="Times New Roman" w:hAnsi="Times New Roman" w:cs="Times New Roman"/>
              </w:rPr>
              <w:t xml:space="preserve">: </w:t>
            </w:r>
            <w:r w:rsidR="00E67A14">
              <w:rPr>
                <w:rFonts w:ascii="Times New Roman" w:hAnsi="Times New Roman" w:cs="Times New Roman"/>
              </w:rPr>
              <w:t xml:space="preserve">JUP </w:t>
            </w:r>
            <w:proofErr w:type="spellStart"/>
            <w:r w:rsidR="00E67A14">
              <w:rPr>
                <w:rFonts w:ascii="Times New Roman" w:hAnsi="Times New Roman" w:cs="Times New Roman"/>
              </w:rPr>
              <w:t>Istraživanje</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i</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razvoj</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d.o.o</w:t>
            </w:r>
            <w:proofErr w:type="spellEnd"/>
            <w:r w:rsidR="00E67A14">
              <w:rPr>
                <w:rFonts w:ascii="Times New Roman" w:hAnsi="Times New Roman" w:cs="Times New Roman"/>
              </w:rPr>
              <w:t xml:space="preserve">. Beograd, </w:t>
            </w:r>
            <w:proofErr w:type="spellStart"/>
            <w:r w:rsidR="00F5074E" w:rsidRPr="00C477C4">
              <w:rPr>
                <w:rFonts w:ascii="Times New Roman" w:hAnsi="Times New Roman" w:cs="Times New Roman"/>
              </w:rPr>
              <w:t>Veljka</w:t>
            </w:r>
            <w:proofErr w:type="spellEnd"/>
            <w:r w:rsidR="00790B38" w:rsidRPr="00C477C4">
              <w:rPr>
                <w:rFonts w:ascii="Times New Roman" w:hAnsi="Times New Roman" w:cs="Times New Roman"/>
              </w:rPr>
              <w:t xml:space="preserve"> </w:t>
            </w:r>
            <w:proofErr w:type="spellStart"/>
            <w:r w:rsidR="00F5074E" w:rsidRPr="00C477C4">
              <w:rPr>
                <w:rFonts w:ascii="Times New Roman" w:hAnsi="Times New Roman" w:cs="Times New Roman"/>
              </w:rPr>
              <w:t>Dugoševića</w:t>
            </w:r>
            <w:proofErr w:type="spellEnd"/>
            <w:r w:rsidR="00790B38" w:rsidRPr="00C477C4">
              <w:rPr>
                <w:rFonts w:ascii="Times New Roman" w:hAnsi="Times New Roman" w:cs="Times New Roman"/>
              </w:rPr>
              <w:t xml:space="preserve"> 54, </w:t>
            </w:r>
            <w:r w:rsidRPr="00C477C4">
              <w:rPr>
                <w:rFonts w:ascii="Times New Roman" w:hAnsi="Times New Roman" w:cs="Times New Roman"/>
              </w:rPr>
              <w:t>fourth floor – register’s office, 11000, Belgrade, Serbia</w:t>
            </w:r>
            <w:r w:rsidR="00790B38" w:rsidRPr="00C477C4">
              <w:rPr>
                <w:rFonts w:ascii="Times New Roman" w:hAnsi="Times New Roman" w:cs="Times New Roman"/>
              </w:rPr>
              <w:t xml:space="preserve">, </w:t>
            </w:r>
            <w:r w:rsidRPr="00C477C4">
              <w:rPr>
                <w:rFonts w:ascii="Times New Roman" w:hAnsi="Times New Roman" w:cs="Times New Roman"/>
              </w:rPr>
              <w:t xml:space="preserve">between </w:t>
            </w:r>
            <w:r w:rsidR="00790B38" w:rsidRPr="00C477C4">
              <w:rPr>
                <w:rFonts w:ascii="Times New Roman" w:hAnsi="Times New Roman" w:cs="Times New Roman"/>
              </w:rPr>
              <w:t xml:space="preserve">09:00h </w:t>
            </w:r>
            <w:r w:rsidRPr="00C477C4">
              <w:rPr>
                <w:rFonts w:ascii="Times New Roman" w:hAnsi="Times New Roman" w:cs="Times New Roman"/>
              </w:rPr>
              <w:t>and</w:t>
            </w:r>
            <w:r w:rsidR="00790B38" w:rsidRPr="00C477C4">
              <w:rPr>
                <w:rFonts w:ascii="Times New Roman" w:hAnsi="Times New Roman" w:cs="Times New Roman"/>
              </w:rPr>
              <w:t xml:space="preserve"> 15:30h.</w:t>
            </w:r>
          </w:p>
          <w:p w:rsidR="002D6E25" w:rsidRPr="00C477C4" w:rsidRDefault="003762E4" w:rsidP="003762E4">
            <w:pPr>
              <w:spacing w:before="60" w:after="60" w:line="240" w:lineRule="auto"/>
              <w:jc w:val="both"/>
              <w:rPr>
                <w:rFonts w:ascii="Times New Roman" w:hAnsi="Times New Roman" w:cs="Times New Roman"/>
              </w:rPr>
            </w:pPr>
            <w:r w:rsidRPr="00C477C4">
              <w:rPr>
                <w:rFonts w:ascii="Times New Roman" w:hAnsi="Times New Roman" w:cs="Times New Roman"/>
              </w:rPr>
              <w:t>Final deadline for the submission of tenders shall be</w:t>
            </w:r>
            <w:r w:rsidR="00790B38" w:rsidRPr="00C477C4">
              <w:rPr>
                <w:rFonts w:ascii="Times New Roman" w:hAnsi="Times New Roman" w:cs="Times New Roman"/>
              </w:rPr>
              <w:t xml:space="preserve">: </w:t>
            </w:r>
            <w:r w:rsidR="0018077A">
              <w:rPr>
                <w:rFonts w:ascii="Times New Roman" w:hAnsi="Times New Roman" w:cs="Times New Roman"/>
              </w:rPr>
              <w:t>09</w:t>
            </w:r>
            <w:r w:rsidR="00C477C4" w:rsidRPr="00C477C4">
              <w:rPr>
                <w:rFonts w:ascii="Times New Roman" w:hAnsi="Times New Roman" w:cs="Times New Roman"/>
              </w:rPr>
              <w:t>.05.2016</w:t>
            </w:r>
            <w:r w:rsidR="00790B38" w:rsidRPr="00C477C4">
              <w:rPr>
                <w:rFonts w:ascii="Times New Roman" w:hAnsi="Times New Roman" w:cs="Times New Roman"/>
              </w:rPr>
              <w:t xml:space="preserve"> </w:t>
            </w:r>
            <w:r w:rsidRPr="00C477C4">
              <w:rPr>
                <w:rFonts w:ascii="Times New Roman" w:hAnsi="Times New Roman" w:cs="Times New Roman"/>
              </w:rPr>
              <w:t xml:space="preserve">by </w:t>
            </w:r>
            <w:r w:rsidR="00790B38" w:rsidRPr="00C477C4">
              <w:rPr>
                <w:rFonts w:ascii="Times New Roman" w:hAnsi="Times New Roman" w:cs="Times New Roman"/>
              </w:rPr>
              <w:t>12:00h</w:t>
            </w:r>
          </w:p>
        </w:tc>
      </w:tr>
      <w:tr w:rsidR="002D6E25" w:rsidRPr="000A45B1" w:rsidTr="009C6217">
        <w:trPr>
          <w:trHeight w:val="218"/>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C477C4" w:rsidRDefault="002D6E25" w:rsidP="009C6217">
            <w:pPr>
              <w:spacing w:before="60" w:after="60" w:line="240" w:lineRule="auto"/>
              <w:rPr>
                <w:rFonts w:ascii="Times New Roman" w:hAnsi="Times New Roman" w:cs="Times New Roman"/>
              </w:rPr>
            </w:pPr>
          </w:p>
        </w:tc>
      </w:tr>
      <w:tr w:rsidR="002D6E25" w:rsidRPr="000A45B1" w:rsidTr="00421C6D">
        <w:trPr>
          <w:trHeight w:val="699"/>
        </w:trPr>
        <w:tc>
          <w:tcPr>
            <w:tcW w:w="383" w:type="pct"/>
            <w:shd w:val="clear" w:color="auto" w:fill="FFFFFF"/>
            <w:tcMar>
              <w:top w:w="0" w:type="dxa"/>
              <w:left w:w="108" w:type="dxa"/>
              <w:bottom w:w="0" w:type="dxa"/>
              <w:right w:w="108" w:type="dxa"/>
            </w:tcMar>
          </w:tcPr>
          <w:p w:rsidR="002D6E25" w:rsidRPr="000A45B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D6E25" w:rsidRPr="000A45B1" w:rsidRDefault="00282531" w:rsidP="00282531">
            <w:pPr>
              <w:spacing w:before="60" w:after="60" w:line="240" w:lineRule="auto"/>
              <w:rPr>
                <w:rFonts w:ascii="Times New Roman" w:hAnsi="Times New Roman" w:cs="Times New Roman"/>
              </w:rPr>
            </w:pPr>
            <w:r w:rsidRPr="000A45B1">
              <w:rPr>
                <w:rFonts w:ascii="Times New Roman" w:hAnsi="Times New Roman" w:cs="Times New Roman"/>
              </w:rPr>
              <w:t>Tender opening session – date, time and venue:</w:t>
            </w:r>
          </w:p>
        </w:tc>
        <w:tc>
          <w:tcPr>
            <w:tcW w:w="2796" w:type="pct"/>
            <w:shd w:val="clear" w:color="auto" w:fill="C6D9F1"/>
            <w:tcMar>
              <w:top w:w="0" w:type="dxa"/>
              <w:left w:w="108" w:type="dxa"/>
              <w:bottom w:w="0" w:type="dxa"/>
              <w:right w:w="108" w:type="dxa"/>
            </w:tcMar>
          </w:tcPr>
          <w:p w:rsidR="002D6E25" w:rsidRPr="00C477C4" w:rsidRDefault="00282531" w:rsidP="0018077A">
            <w:pPr>
              <w:spacing w:before="60" w:after="60" w:line="240" w:lineRule="auto"/>
              <w:jc w:val="both"/>
              <w:rPr>
                <w:rFonts w:ascii="Times New Roman" w:hAnsi="Times New Roman" w:cs="Times New Roman"/>
              </w:rPr>
            </w:pPr>
            <w:r w:rsidRPr="00C477C4">
              <w:rPr>
                <w:rFonts w:ascii="Times New Roman" w:hAnsi="Times New Roman" w:cs="Times New Roman"/>
              </w:rPr>
              <w:t xml:space="preserve">Opening of tenders shall be scheduled for </w:t>
            </w:r>
            <w:r w:rsidR="0018077A">
              <w:rPr>
                <w:rFonts w:ascii="Times New Roman" w:hAnsi="Times New Roman" w:cs="Times New Roman"/>
              </w:rPr>
              <w:t>09</w:t>
            </w:r>
            <w:r w:rsidR="00C477C4" w:rsidRPr="00C477C4">
              <w:rPr>
                <w:rFonts w:ascii="Times New Roman" w:hAnsi="Times New Roman" w:cs="Times New Roman"/>
              </w:rPr>
              <w:t>.05.2016</w:t>
            </w:r>
            <w:r w:rsidR="008F62E9" w:rsidRPr="00C477C4">
              <w:rPr>
                <w:rFonts w:ascii="Times New Roman" w:hAnsi="Times New Roman" w:cs="Times New Roman"/>
              </w:rPr>
              <w:t xml:space="preserve"> </w:t>
            </w:r>
            <w:r w:rsidRPr="00C477C4">
              <w:rPr>
                <w:rFonts w:ascii="Times New Roman" w:hAnsi="Times New Roman" w:cs="Times New Roman"/>
              </w:rPr>
              <w:t xml:space="preserve">at </w:t>
            </w:r>
            <w:r w:rsidR="008F62E9" w:rsidRPr="00C477C4">
              <w:rPr>
                <w:rFonts w:ascii="Times New Roman" w:hAnsi="Times New Roman" w:cs="Times New Roman"/>
              </w:rPr>
              <w:t xml:space="preserve">12:30, </w:t>
            </w:r>
            <w:r w:rsidRPr="00C477C4">
              <w:rPr>
                <w:rFonts w:ascii="Times New Roman" w:hAnsi="Times New Roman" w:cs="Times New Roman"/>
              </w:rPr>
              <w:t xml:space="preserve">on the premises of </w:t>
            </w:r>
            <w:r w:rsidR="00E67A14">
              <w:rPr>
                <w:rFonts w:ascii="Times New Roman" w:hAnsi="Times New Roman" w:cs="Times New Roman"/>
              </w:rPr>
              <w:t xml:space="preserve">JUP </w:t>
            </w:r>
            <w:proofErr w:type="spellStart"/>
            <w:r w:rsidR="00E67A14">
              <w:rPr>
                <w:rFonts w:ascii="Times New Roman" w:hAnsi="Times New Roman" w:cs="Times New Roman"/>
              </w:rPr>
              <w:t>Istraživanje</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i</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razvoj</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d.o.o</w:t>
            </w:r>
            <w:proofErr w:type="spellEnd"/>
            <w:r w:rsidR="00E67A14">
              <w:rPr>
                <w:rFonts w:ascii="Times New Roman" w:hAnsi="Times New Roman" w:cs="Times New Roman"/>
              </w:rPr>
              <w:t>. Beograd,</w:t>
            </w:r>
            <w:r w:rsidRPr="00C477C4">
              <w:rPr>
                <w:rFonts w:ascii="Times New Roman" w:hAnsi="Times New Roman" w:cs="Times New Roman"/>
              </w:rPr>
              <w:t xml:space="preserve"> </w:t>
            </w:r>
            <w:proofErr w:type="spellStart"/>
            <w:r w:rsidRPr="00C477C4">
              <w:rPr>
                <w:rFonts w:ascii="Times New Roman" w:hAnsi="Times New Roman" w:cs="Times New Roman"/>
              </w:rPr>
              <w:t>Vel</w:t>
            </w:r>
            <w:r w:rsidR="00E67A14">
              <w:rPr>
                <w:rFonts w:ascii="Times New Roman" w:hAnsi="Times New Roman" w:cs="Times New Roman"/>
              </w:rPr>
              <w:t>jka</w:t>
            </w:r>
            <w:proofErr w:type="spellEnd"/>
            <w:r w:rsidR="00E67A14">
              <w:rPr>
                <w:rFonts w:ascii="Times New Roman" w:hAnsi="Times New Roman" w:cs="Times New Roman"/>
              </w:rPr>
              <w:t xml:space="preserve"> </w:t>
            </w:r>
            <w:proofErr w:type="spellStart"/>
            <w:r w:rsidR="00E67A14">
              <w:rPr>
                <w:rFonts w:ascii="Times New Roman" w:hAnsi="Times New Roman" w:cs="Times New Roman"/>
              </w:rPr>
              <w:t>Dugoševića</w:t>
            </w:r>
            <w:proofErr w:type="spellEnd"/>
            <w:r w:rsidR="00E67A14">
              <w:rPr>
                <w:rFonts w:ascii="Times New Roman" w:hAnsi="Times New Roman" w:cs="Times New Roman"/>
              </w:rPr>
              <w:t xml:space="preserve"> 54, f</w:t>
            </w:r>
            <w:r w:rsidR="0018077A">
              <w:rPr>
                <w:rFonts w:ascii="Times New Roman" w:hAnsi="Times New Roman" w:cs="Times New Roman"/>
              </w:rPr>
              <w:t>irst</w:t>
            </w:r>
            <w:r w:rsidR="00E67A14">
              <w:rPr>
                <w:rFonts w:ascii="Times New Roman" w:hAnsi="Times New Roman" w:cs="Times New Roman"/>
              </w:rPr>
              <w:t xml:space="preserve"> floor, </w:t>
            </w:r>
            <w:r w:rsidRPr="00C477C4">
              <w:rPr>
                <w:rFonts w:ascii="Times New Roman" w:hAnsi="Times New Roman" w:cs="Times New Roman"/>
              </w:rPr>
              <w:t>11000, Belgrade</w:t>
            </w:r>
            <w:r w:rsidR="00E736BD" w:rsidRPr="00C477C4">
              <w:rPr>
                <w:rFonts w:ascii="Times New Roman" w:hAnsi="Times New Roman" w:cs="Times New Roman"/>
              </w:rPr>
              <w:t>.</w:t>
            </w:r>
          </w:p>
        </w:tc>
      </w:tr>
      <w:tr w:rsidR="002D6E25" w:rsidRPr="000A45B1" w:rsidTr="009C6217">
        <w:trPr>
          <w:trHeight w:val="232"/>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82531" w:rsidRPr="000A45B1" w:rsidTr="009C6217">
        <w:trPr>
          <w:trHeight w:val="696"/>
        </w:trPr>
        <w:tc>
          <w:tcPr>
            <w:tcW w:w="383" w:type="pct"/>
            <w:shd w:val="clear" w:color="auto" w:fill="FFFFFF"/>
            <w:tcMar>
              <w:top w:w="0" w:type="dxa"/>
              <w:left w:w="108" w:type="dxa"/>
              <w:bottom w:w="0" w:type="dxa"/>
              <w:right w:w="108" w:type="dxa"/>
            </w:tcMar>
          </w:tcPr>
          <w:p w:rsidR="00282531" w:rsidRPr="000A45B1" w:rsidRDefault="00282531"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82531" w:rsidRPr="000A45B1" w:rsidRDefault="00282531" w:rsidP="00A90FD2">
            <w:pPr>
              <w:spacing w:before="60" w:after="60" w:line="240" w:lineRule="auto"/>
              <w:rPr>
                <w:rFonts w:ascii="Times New Roman" w:hAnsi="Times New Roman" w:cs="Times New Roman"/>
              </w:rPr>
            </w:pPr>
            <w:r w:rsidRPr="000A45B1">
              <w:rPr>
                <w:rFonts w:ascii="Times New Roman" w:hAnsi="Times New Roman" w:cs="Times New Roman"/>
              </w:rPr>
              <w:t>Conditions for participation in tender opening session:</w:t>
            </w:r>
          </w:p>
        </w:tc>
      </w:tr>
      <w:tr w:rsidR="002D6E25" w:rsidRPr="000A45B1" w:rsidTr="00EB693E">
        <w:trPr>
          <w:trHeight w:val="1450"/>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2D6E25" w:rsidRPr="000A45B1" w:rsidRDefault="00282531" w:rsidP="000A45B1">
            <w:pPr>
              <w:spacing w:before="60" w:after="60" w:line="240" w:lineRule="auto"/>
              <w:jc w:val="both"/>
              <w:rPr>
                <w:rFonts w:ascii="Times New Roman" w:hAnsi="Times New Roman" w:cs="Times New Roman"/>
              </w:rPr>
            </w:pPr>
            <w:r w:rsidRPr="000A45B1">
              <w:rPr>
                <w:rFonts w:ascii="Times New Roman" w:hAnsi="Times New Roman" w:cs="Times New Roman"/>
              </w:rPr>
              <w:t xml:space="preserve">Contracting Authority shall open the tenders in presence of authorised </w:t>
            </w:r>
            <w:proofErr w:type="spellStart"/>
            <w:r w:rsidRPr="000A45B1">
              <w:rPr>
                <w:rFonts w:ascii="Times New Roman" w:hAnsi="Times New Roman" w:cs="Times New Roman"/>
              </w:rPr>
              <w:t>tenderers</w:t>
            </w:r>
            <w:proofErr w:type="spellEnd"/>
            <w:r w:rsidRPr="000A45B1">
              <w:rPr>
                <w:rFonts w:ascii="Times New Roman" w:hAnsi="Times New Roman" w:cs="Times New Roman"/>
              </w:rPr>
              <w:t xml:space="preserve">' representatives who wish to attend the opening session, in time and at the place designated in the Public Call and in the Instructions for </w:t>
            </w:r>
            <w:proofErr w:type="spellStart"/>
            <w:r w:rsidRPr="000A45B1">
              <w:rPr>
                <w:rFonts w:ascii="Times New Roman" w:hAnsi="Times New Roman" w:cs="Times New Roman"/>
              </w:rPr>
              <w:t>Tenderers</w:t>
            </w:r>
            <w:proofErr w:type="spellEnd"/>
            <w:r w:rsidR="00E736BD" w:rsidRPr="000A45B1">
              <w:rPr>
                <w:rFonts w:ascii="Times New Roman" w:hAnsi="Times New Roman" w:cs="Times New Roman"/>
              </w:rPr>
              <w:t xml:space="preserve">. </w:t>
            </w:r>
            <w:r w:rsidR="000A45B1" w:rsidRPr="000A45B1">
              <w:rPr>
                <w:rFonts w:ascii="Times New Roman" w:hAnsi="Times New Roman" w:cs="Times New Roman"/>
              </w:rPr>
              <w:t xml:space="preserve">Representatives of </w:t>
            </w:r>
            <w:proofErr w:type="spellStart"/>
            <w:r w:rsidR="000A45B1" w:rsidRPr="000A45B1">
              <w:rPr>
                <w:rFonts w:ascii="Times New Roman" w:hAnsi="Times New Roman" w:cs="Times New Roman"/>
              </w:rPr>
              <w:t>tenderers</w:t>
            </w:r>
            <w:proofErr w:type="spellEnd"/>
            <w:r w:rsidR="000A45B1" w:rsidRPr="000A45B1">
              <w:rPr>
                <w:rFonts w:ascii="Times New Roman" w:hAnsi="Times New Roman" w:cs="Times New Roman"/>
              </w:rPr>
              <w:t xml:space="preserve"> attending the opening session shall provide relevant authorisation for presence and signing, and shall sign a document to confirm their presence</w:t>
            </w:r>
            <w:r w:rsidR="009B341F" w:rsidRPr="000A45B1">
              <w:rPr>
                <w:rFonts w:ascii="Times New Roman" w:hAnsi="Times New Roman" w:cs="Times New Roman"/>
              </w:rPr>
              <w:t>.</w:t>
            </w:r>
          </w:p>
        </w:tc>
      </w:tr>
      <w:tr w:rsidR="002D6E25" w:rsidRPr="000A45B1" w:rsidTr="009C6217">
        <w:trPr>
          <w:trHeight w:val="238"/>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82531" w:rsidRPr="000A45B1" w:rsidTr="00421C6D">
        <w:trPr>
          <w:trHeight w:val="699"/>
        </w:trPr>
        <w:tc>
          <w:tcPr>
            <w:tcW w:w="383" w:type="pct"/>
            <w:shd w:val="clear" w:color="auto" w:fill="FFFFFF"/>
            <w:tcMar>
              <w:top w:w="0" w:type="dxa"/>
              <w:left w:w="108" w:type="dxa"/>
              <w:bottom w:w="0" w:type="dxa"/>
              <w:right w:w="108" w:type="dxa"/>
            </w:tcMar>
          </w:tcPr>
          <w:p w:rsidR="00282531" w:rsidRPr="000A45B1" w:rsidRDefault="00282531"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282531" w:rsidRPr="000A45B1" w:rsidRDefault="00282531" w:rsidP="00A90FD2">
            <w:pPr>
              <w:spacing w:before="60" w:after="60" w:line="240" w:lineRule="auto"/>
              <w:rPr>
                <w:rFonts w:ascii="Times New Roman" w:hAnsi="Times New Roman" w:cs="Times New Roman"/>
              </w:rPr>
            </w:pPr>
            <w:r w:rsidRPr="000A45B1">
              <w:rPr>
                <w:rFonts w:ascii="Times New Roman" w:hAnsi="Times New Roman" w:cs="Times New Roman"/>
              </w:rPr>
              <w:t>Deadline for contract award decision:</w:t>
            </w:r>
          </w:p>
        </w:tc>
        <w:tc>
          <w:tcPr>
            <w:tcW w:w="2796" w:type="pct"/>
            <w:shd w:val="clear" w:color="auto" w:fill="C6D9F1"/>
            <w:tcMar>
              <w:top w:w="0" w:type="dxa"/>
              <w:left w:w="108" w:type="dxa"/>
              <w:bottom w:w="0" w:type="dxa"/>
              <w:right w:w="108" w:type="dxa"/>
            </w:tcMar>
          </w:tcPr>
          <w:p w:rsidR="00282531" w:rsidRPr="0018077A" w:rsidRDefault="00201406" w:rsidP="009C6217">
            <w:pPr>
              <w:spacing w:before="60" w:after="60" w:line="240" w:lineRule="auto"/>
              <w:rPr>
                <w:rFonts w:ascii="Times New Roman" w:hAnsi="Times New Roman" w:cs="Times New Roman"/>
              </w:rPr>
            </w:pPr>
            <w:r>
              <w:rPr>
                <w:rFonts w:ascii="Roboto" w:hAnsi="Roboto"/>
              </w:rPr>
              <w:t>Not later than</w:t>
            </w:r>
            <w:r w:rsidR="0018077A" w:rsidRPr="0018077A">
              <w:rPr>
                <w:rFonts w:ascii="Roboto" w:hAnsi="Roboto"/>
              </w:rPr>
              <w:t xml:space="preserve"> 120 days after the deadline for submitting tenders</w:t>
            </w:r>
          </w:p>
        </w:tc>
      </w:tr>
      <w:tr w:rsidR="002D6E25" w:rsidRPr="000A45B1" w:rsidTr="009C6217">
        <w:trPr>
          <w:trHeight w:val="238"/>
        </w:trPr>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083F35" w:rsidRPr="000A45B1" w:rsidTr="00421C6D">
        <w:trPr>
          <w:trHeight w:val="699"/>
        </w:trPr>
        <w:tc>
          <w:tcPr>
            <w:tcW w:w="383" w:type="pct"/>
            <w:shd w:val="clear" w:color="auto" w:fill="FFFFFF"/>
            <w:tcMar>
              <w:top w:w="0" w:type="dxa"/>
              <w:left w:w="108" w:type="dxa"/>
              <w:bottom w:w="0" w:type="dxa"/>
              <w:right w:w="108" w:type="dxa"/>
            </w:tcMar>
          </w:tcPr>
          <w:p w:rsidR="00083F35" w:rsidRPr="000A45B1"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rsidR="00083F35" w:rsidRPr="000A45B1" w:rsidRDefault="00282531" w:rsidP="009C6217">
            <w:pPr>
              <w:spacing w:before="60" w:after="60" w:line="240" w:lineRule="auto"/>
              <w:rPr>
                <w:rFonts w:ascii="Times New Roman" w:hAnsi="Times New Roman" w:cs="Times New Roman"/>
              </w:rPr>
            </w:pPr>
            <w:r w:rsidRPr="000A45B1">
              <w:rPr>
                <w:rFonts w:ascii="Times New Roman" w:hAnsi="Times New Roman" w:cs="Times New Roman"/>
              </w:rPr>
              <w:t>Contact</w:t>
            </w:r>
            <w:r w:rsidR="00083F35" w:rsidRPr="000A45B1">
              <w:rPr>
                <w:rFonts w:ascii="Times New Roman" w:hAnsi="Times New Roman" w:cs="Times New Roman"/>
              </w:rPr>
              <w:t>:</w:t>
            </w:r>
          </w:p>
        </w:tc>
        <w:tc>
          <w:tcPr>
            <w:tcW w:w="2796" w:type="pct"/>
            <w:shd w:val="clear" w:color="auto" w:fill="C6D9F1"/>
            <w:tcMar>
              <w:top w:w="0" w:type="dxa"/>
              <w:left w:w="108" w:type="dxa"/>
              <w:bottom w:w="0" w:type="dxa"/>
              <w:right w:w="108" w:type="dxa"/>
            </w:tcMar>
          </w:tcPr>
          <w:p w:rsidR="009B341F" w:rsidRPr="000A45B1" w:rsidRDefault="001D7BAD" w:rsidP="009B341F">
            <w:pPr>
              <w:spacing w:before="60" w:after="60" w:line="240" w:lineRule="auto"/>
              <w:rPr>
                <w:rFonts w:ascii="Times New Roman" w:hAnsi="Times New Roman" w:cs="Times New Roman"/>
              </w:rPr>
            </w:pPr>
            <w:r>
              <w:rPr>
                <w:rFonts w:ascii="Times New Roman" w:hAnsi="Times New Roman" w:cs="Times New Roman"/>
              </w:rPr>
              <w:t xml:space="preserve">JUP </w:t>
            </w:r>
            <w:proofErr w:type="spellStart"/>
            <w:r>
              <w:rPr>
                <w:rFonts w:ascii="Times New Roman" w:hAnsi="Times New Roman" w:cs="Times New Roman"/>
              </w:rPr>
              <w:t>Istraživanje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razvoj</w:t>
            </w:r>
            <w:proofErr w:type="spellEnd"/>
            <w:r>
              <w:rPr>
                <w:rFonts w:ascii="Times New Roman" w:hAnsi="Times New Roman" w:cs="Times New Roman"/>
              </w:rPr>
              <w:t xml:space="preserve"> </w:t>
            </w:r>
            <w:proofErr w:type="spellStart"/>
            <w:r>
              <w:rPr>
                <w:rFonts w:ascii="Times New Roman" w:hAnsi="Times New Roman" w:cs="Times New Roman"/>
              </w:rPr>
              <w:t>d.o.o</w:t>
            </w:r>
            <w:proofErr w:type="spellEnd"/>
            <w:r>
              <w:rPr>
                <w:rFonts w:ascii="Times New Roman" w:hAnsi="Times New Roman" w:cs="Times New Roman"/>
              </w:rPr>
              <w:t>. Beograd</w:t>
            </w:r>
          </w:p>
          <w:p w:rsidR="009B341F" w:rsidRPr="000A45B1" w:rsidRDefault="000A45B1" w:rsidP="0018077A">
            <w:pPr>
              <w:tabs>
                <w:tab w:val="center" w:pos="2582"/>
              </w:tabs>
              <w:spacing w:before="60" w:after="60" w:line="240" w:lineRule="auto"/>
              <w:rPr>
                <w:rFonts w:ascii="Times New Roman" w:hAnsi="Times New Roman" w:cs="Times New Roman"/>
              </w:rPr>
            </w:pPr>
            <w:r w:rsidRPr="000A45B1">
              <w:rPr>
                <w:rFonts w:ascii="Times New Roman" w:hAnsi="Times New Roman" w:cs="Times New Roman"/>
              </w:rPr>
              <w:t>Procurement Division</w:t>
            </w:r>
            <w:r w:rsidR="0018077A">
              <w:rPr>
                <w:rFonts w:ascii="Times New Roman" w:hAnsi="Times New Roman" w:cs="Times New Roman"/>
              </w:rPr>
              <w:tab/>
            </w:r>
          </w:p>
          <w:p w:rsidR="00083F35" w:rsidRPr="000A45B1" w:rsidRDefault="001D7BAD" w:rsidP="00163059">
            <w:pPr>
              <w:spacing w:before="60" w:after="60" w:line="240" w:lineRule="auto"/>
              <w:rPr>
                <w:rFonts w:ascii="Times New Roman" w:eastAsia="Times New Roman" w:hAnsi="Times New Roman" w:cs="Times New Roman"/>
                <w:i/>
                <w:color w:val="auto"/>
                <w:lang w:eastAsia="en-GB"/>
              </w:rPr>
            </w:pPr>
            <w:r>
              <w:rPr>
                <w:rFonts w:ascii="Times New Roman" w:eastAsia="Times New Roman" w:hAnsi="Times New Roman" w:cs="Times New Roman"/>
                <w:i/>
                <w:color w:val="auto"/>
                <w:lang w:eastAsia="en-GB"/>
              </w:rPr>
              <w:lastRenderedPageBreak/>
              <w:t>irena.obradovic</w:t>
            </w:r>
            <w:r w:rsidR="00921E6F" w:rsidRPr="000A45B1">
              <w:rPr>
                <w:rFonts w:ascii="Times New Roman" w:eastAsia="Times New Roman" w:hAnsi="Times New Roman" w:cs="Times New Roman"/>
                <w:i/>
                <w:color w:val="auto"/>
                <w:lang w:eastAsia="en-GB"/>
              </w:rPr>
              <w:t>@piu.rs</w:t>
            </w:r>
          </w:p>
        </w:tc>
      </w:tr>
      <w:tr w:rsidR="002D6E25" w:rsidRPr="000A45B1" w:rsidTr="009C6217">
        <w:tc>
          <w:tcPr>
            <w:tcW w:w="383" w:type="pct"/>
            <w:shd w:val="clear" w:color="auto" w:fill="FFFFFF"/>
            <w:tcMar>
              <w:top w:w="0" w:type="dxa"/>
              <w:left w:w="108" w:type="dxa"/>
              <w:bottom w:w="0" w:type="dxa"/>
              <w:right w:w="108" w:type="dxa"/>
            </w:tcMar>
          </w:tcPr>
          <w:p w:rsidR="002D6E25" w:rsidRPr="000A45B1"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D6E25" w:rsidP="009C6217">
            <w:pPr>
              <w:spacing w:before="60" w:after="60" w:line="240" w:lineRule="auto"/>
              <w:rPr>
                <w:rFonts w:ascii="Times New Roman" w:hAnsi="Times New Roman" w:cs="Times New Roman"/>
              </w:rPr>
            </w:pPr>
          </w:p>
        </w:tc>
      </w:tr>
      <w:tr w:rsidR="002D6E25" w:rsidRPr="000A45B1" w:rsidTr="009C6217">
        <w:tc>
          <w:tcPr>
            <w:tcW w:w="383" w:type="pct"/>
            <w:shd w:val="clear" w:color="auto" w:fill="FFFFFF"/>
            <w:tcMar>
              <w:top w:w="0" w:type="dxa"/>
              <w:left w:w="108" w:type="dxa"/>
              <w:bottom w:w="0" w:type="dxa"/>
              <w:right w:w="108" w:type="dxa"/>
            </w:tcMar>
          </w:tcPr>
          <w:p w:rsidR="002D6E25" w:rsidRPr="000A45B1"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rsidR="002D6E25" w:rsidRPr="000A45B1" w:rsidRDefault="00282531" w:rsidP="009C6217">
            <w:pPr>
              <w:spacing w:before="60" w:after="60" w:line="240" w:lineRule="auto"/>
              <w:rPr>
                <w:rFonts w:ascii="Times New Roman" w:hAnsi="Times New Roman" w:cs="Times New Roman"/>
              </w:rPr>
            </w:pPr>
            <w:r w:rsidRPr="000A45B1">
              <w:rPr>
                <w:rFonts w:ascii="Times New Roman" w:hAnsi="Times New Roman" w:cs="Times New Roman"/>
              </w:rPr>
              <w:t>Other information</w:t>
            </w:r>
            <w:r w:rsidR="004511C2" w:rsidRPr="000A45B1">
              <w:rPr>
                <w:rFonts w:ascii="Times New Roman" w:hAnsi="Times New Roman" w:cs="Times New Roman"/>
              </w:rPr>
              <w:t>:</w:t>
            </w:r>
          </w:p>
        </w:tc>
      </w:tr>
      <w:tr w:rsidR="009B341F" w:rsidRPr="000A45B1" w:rsidTr="00EB693E">
        <w:trPr>
          <w:trHeight w:val="1371"/>
        </w:trPr>
        <w:tc>
          <w:tcPr>
            <w:tcW w:w="383" w:type="pct"/>
            <w:shd w:val="clear" w:color="auto" w:fill="FFFFFF"/>
            <w:tcMar>
              <w:top w:w="0" w:type="dxa"/>
              <w:left w:w="108" w:type="dxa"/>
              <w:bottom w:w="0" w:type="dxa"/>
              <w:right w:w="108" w:type="dxa"/>
            </w:tcMar>
          </w:tcPr>
          <w:p w:rsidR="009B341F" w:rsidRPr="000A45B1"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rsidR="009B341F" w:rsidRPr="000A45B1" w:rsidRDefault="000A45B1" w:rsidP="006B0C2A">
            <w:pPr>
              <w:spacing w:before="60" w:after="60" w:line="240" w:lineRule="auto"/>
              <w:jc w:val="both"/>
              <w:rPr>
                <w:rFonts w:ascii="Times New Roman" w:hAnsi="Times New Roman" w:cs="Times New Roman"/>
              </w:rPr>
            </w:pPr>
            <w:r w:rsidRPr="000A45B1">
              <w:rPr>
                <w:rFonts w:ascii="Times New Roman" w:hAnsi="Times New Roman" w:cs="Times New Roman"/>
              </w:rPr>
              <w:t>Procurements of goods, works and services</w:t>
            </w:r>
            <w:r>
              <w:rPr>
                <w:rFonts w:ascii="Times New Roman" w:hAnsi="Times New Roman" w:cs="Times New Roman"/>
              </w:rPr>
              <w:t xml:space="preserve"> funded b</w:t>
            </w:r>
            <w:r w:rsidRPr="000A45B1">
              <w:rPr>
                <w:rFonts w:ascii="Times New Roman" w:hAnsi="Times New Roman" w:cs="Times New Roman"/>
              </w:rPr>
              <w:t>y CHP in the Republic of Serbia have been prepared, awarded and organised in collaboration with Partner Countries and CEB Procurement Manual for goods, works and services, published on the following web page</w:t>
            </w:r>
            <w:r w:rsidR="009B341F" w:rsidRPr="000A45B1">
              <w:rPr>
                <w:rFonts w:ascii="Times New Roman" w:hAnsi="Times New Roman" w:cs="Times New Roman"/>
              </w:rPr>
              <w:t>:</w:t>
            </w:r>
          </w:p>
          <w:p w:rsidR="009B341F" w:rsidRPr="000A45B1" w:rsidRDefault="00F03715" w:rsidP="006B0C2A">
            <w:pPr>
              <w:spacing w:before="60" w:after="60" w:line="240" w:lineRule="auto"/>
              <w:jc w:val="both"/>
              <w:rPr>
                <w:rFonts w:ascii="Times New Roman" w:hAnsi="Times New Roman" w:cs="Times New Roman"/>
              </w:rPr>
            </w:pPr>
            <w:hyperlink r:id="rId12" w:history="1">
              <w:r w:rsidR="00185968" w:rsidRPr="000A45B1">
                <w:rPr>
                  <w:rStyle w:val="Hyperlink"/>
                  <w:rFonts w:ascii="Times New Roman" w:hAnsi="Times New Roman" w:cs="Times New Roman"/>
                </w:rPr>
                <w:t>http://www.coebank.org/en/about/policies-and-guidelines/projects-and-loans-policies-and-guidelines</w:t>
              </w:r>
            </w:hyperlink>
            <w:proofErr w:type="gramStart"/>
            <w:r w:rsidR="00185968" w:rsidRPr="000A45B1">
              <w:rPr>
                <w:rFonts w:ascii="Times New Roman" w:hAnsi="Times New Roman" w:cs="Times New Roman"/>
              </w:rPr>
              <w:t xml:space="preserve"> </w:t>
            </w:r>
            <w:proofErr w:type="gramEnd"/>
            <w:r w:rsidR="009B341F" w:rsidRPr="000A45B1">
              <w:rPr>
                <w:rFonts w:ascii="Times New Roman" w:hAnsi="Times New Roman" w:cs="Times New Roman"/>
              </w:rPr>
              <w:t xml:space="preserve"> .</w:t>
            </w:r>
          </w:p>
        </w:tc>
      </w:tr>
    </w:tbl>
    <w:p w:rsidR="002D6E25" w:rsidRPr="000A45B1" w:rsidRDefault="002D6E25" w:rsidP="00083F35">
      <w:pPr>
        <w:spacing w:before="60" w:after="60" w:line="240" w:lineRule="auto"/>
        <w:rPr>
          <w:rFonts w:ascii="Times New Roman" w:hAnsi="Times New Roman" w:cs="Times New Roman"/>
        </w:rPr>
      </w:pPr>
    </w:p>
    <w:sectPr w:rsidR="002D6E25" w:rsidRPr="000A45B1" w:rsidSect="002D6E25">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6E" w:rsidRDefault="0002136E" w:rsidP="00083F35">
      <w:pPr>
        <w:spacing w:after="0" w:line="240" w:lineRule="auto"/>
      </w:pPr>
      <w:r>
        <w:separator/>
      </w:r>
    </w:p>
  </w:endnote>
  <w:endnote w:type="continuationSeparator" w:id="0">
    <w:p w:rsidR="0002136E" w:rsidRDefault="0002136E" w:rsidP="00083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EB" w:rsidRDefault="00984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73"/>
      <w:gridCol w:w="4515"/>
    </w:tblGrid>
    <w:tr w:rsidR="00083F35" w:rsidRPr="009F2448" w:rsidTr="00332E22">
      <w:tc>
        <w:tcPr>
          <w:tcW w:w="4773" w:type="dxa"/>
          <w:shd w:val="clear" w:color="auto" w:fill="auto"/>
        </w:tcPr>
        <w:p w:rsidR="00083F35" w:rsidRPr="009F2448" w:rsidRDefault="00083F35" w:rsidP="00525CE4">
          <w:pPr>
            <w:pStyle w:val="Footer"/>
            <w:tabs>
              <w:tab w:val="center" w:pos="4111"/>
            </w:tabs>
            <w:rPr>
              <w:rFonts w:ascii="Times New Roman" w:hAnsi="Times New Roman" w:cs="Times New Roman"/>
              <w:sz w:val="20"/>
              <w:szCs w:val="20"/>
              <w:lang w:val="sr-Latn-CS"/>
            </w:rPr>
          </w:pPr>
          <w:r w:rsidRPr="009F2448">
            <w:rPr>
              <w:rFonts w:ascii="Times New Roman" w:hAnsi="Times New Roman" w:cs="Times New Roman"/>
              <w:sz w:val="20"/>
              <w:szCs w:val="20"/>
              <w:lang w:val="sr-Latn-CS"/>
            </w:rPr>
            <w:t>201</w:t>
          </w:r>
          <w:r w:rsidR="009843EB">
            <w:rPr>
              <w:rFonts w:ascii="Times New Roman" w:hAnsi="Times New Roman" w:cs="Times New Roman"/>
              <w:sz w:val="20"/>
              <w:szCs w:val="20"/>
              <w:lang w:val="sr-Latn-CS"/>
            </w:rPr>
            <w:t>6</w:t>
          </w:r>
          <w:r w:rsidRPr="009F2448">
            <w:rPr>
              <w:rFonts w:ascii="Times New Roman" w:hAnsi="Times New Roman" w:cs="Times New Roman"/>
              <w:sz w:val="20"/>
              <w:szCs w:val="20"/>
              <w:lang w:val="sr-Latn-CS"/>
            </w:rPr>
            <w:t xml:space="preserve"> </w:t>
          </w:r>
          <w:r w:rsidR="009432B5" w:rsidRPr="009F2448">
            <w:rPr>
              <w:rFonts w:ascii="Times New Roman" w:hAnsi="Times New Roman" w:cs="Times New Roman"/>
              <w:sz w:val="20"/>
              <w:szCs w:val="20"/>
              <w:lang w:val="sr-Latn-CS"/>
            </w:rPr>
            <w:t>–</w:t>
          </w:r>
          <w:r w:rsidRPr="009F2448">
            <w:rPr>
              <w:rFonts w:ascii="Times New Roman" w:hAnsi="Times New Roman" w:cs="Times New Roman"/>
              <w:sz w:val="20"/>
              <w:szCs w:val="20"/>
              <w:lang w:val="sr-Latn-CS"/>
            </w:rPr>
            <w:t xml:space="preserve"> </w:t>
          </w:r>
          <w:r w:rsidR="00525CE4">
            <w:rPr>
              <w:rFonts w:ascii="Times New Roman" w:hAnsi="Times New Roman" w:cs="Times New Roman"/>
              <w:sz w:val="20"/>
              <w:szCs w:val="20"/>
              <w:lang w:val="sr-Latn-CS"/>
            </w:rPr>
            <w:t>Regional Housing Programme</w:t>
          </w:r>
        </w:p>
      </w:tc>
      <w:tc>
        <w:tcPr>
          <w:tcW w:w="4515" w:type="dxa"/>
          <w:shd w:val="clear" w:color="auto" w:fill="auto"/>
        </w:tcPr>
        <w:p w:rsidR="00083F35" w:rsidRPr="009F2448" w:rsidRDefault="00525CE4" w:rsidP="00083F35">
          <w:pPr>
            <w:pStyle w:val="Footer"/>
            <w:tabs>
              <w:tab w:val="center" w:pos="4111"/>
            </w:tabs>
            <w:jc w:val="right"/>
            <w:rPr>
              <w:rFonts w:ascii="Times New Roman" w:hAnsi="Times New Roman" w:cs="Times New Roman"/>
              <w:sz w:val="20"/>
              <w:szCs w:val="20"/>
              <w:lang w:val="sr-Latn-CS"/>
            </w:rPr>
          </w:pPr>
          <w:r>
            <w:rPr>
              <w:rFonts w:ascii="Times New Roman" w:hAnsi="Times New Roman" w:cs="Times New Roman"/>
              <w:sz w:val="20"/>
              <w:szCs w:val="20"/>
              <w:lang w:val="sr-Latn-CS"/>
            </w:rPr>
            <w:t>Page</w:t>
          </w:r>
          <w:r w:rsidR="00083F35" w:rsidRPr="009F2448">
            <w:rPr>
              <w:rFonts w:ascii="Times New Roman" w:hAnsi="Times New Roman" w:cs="Times New Roman"/>
              <w:sz w:val="20"/>
              <w:szCs w:val="20"/>
              <w:lang w:val="sr-Latn-CS"/>
            </w:rPr>
            <w:t xml:space="preserve"> </w:t>
          </w:r>
          <w:r w:rsidR="00F03715" w:rsidRPr="009F2448">
            <w:rPr>
              <w:rFonts w:ascii="Times New Roman" w:hAnsi="Times New Roman" w:cs="Times New Roman"/>
              <w:sz w:val="20"/>
              <w:szCs w:val="20"/>
              <w:lang w:val="sr-Latn-CS"/>
            </w:rPr>
            <w:fldChar w:fldCharType="begin"/>
          </w:r>
          <w:r w:rsidR="00083F35" w:rsidRPr="009F2448">
            <w:rPr>
              <w:rFonts w:ascii="Times New Roman" w:hAnsi="Times New Roman" w:cs="Times New Roman"/>
              <w:sz w:val="20"/>
              <w:szCs w:val="20"/>
              <w:lang w:val="sr-Latn-CS"/>
            </w:rPr>
            <w:instrText xml:space="preserve"> PAGE   \* MERGEFORMAT </w:instrText>
          </w:r>
          <w:r w:rsidR="00F03715" w:rsidRPr="009F2448">
            <w:rPr>
              <w:rFonts w:ascii="Times New Roman" w:hAnsi="Times New Roman" w:cs="Times New Roman"/>
              <w:sz w:val="20"/>
              <w:szCs w:val="20"/>
              <w:lang w:val="sr-Latn-CS"/>
            </w:rPr>
            <w:fldChar w:fldCharType="separate"/>
          </w:r>
          <w:r w:rsidR="00201406">
            <w:rPr>
              <w:rFonts w:ascii="Times New Roman" w:hAnsi="Times New Roman" w:cs="Times New Roman"/>
              <w:noProof/>
              <w:sz w:val="20"/>
              <w:szCs w:val="20"/>
              <w:lang w:val="sr-Latn-CS"/>
            </w:rPr>
            <w:t>5</w:t>
          </w:r>
          <w:r w:rsidR="00F03715" w:rsidRPr="009F2448">
            <w:rPr>
              <w:rFonts w:ascii="Times New Roman" w:hAnsi="Times New Roman" w:cs="Times New Roman"/>
              <w:noProof/>
              <w:sz w:val="20"/>
              <w:szCs w:val="20"/>
              <w:lang w:val="sr-Latn-CS"/>
            </w:rPr>
            <w:fldChar w:fldCharType="end"/>
          </w:r>
        </w:p>
      </w:tc>
    </w:tr>
  </w:tbl>
  <w:p w:rsidR="00083F35" w:rsidRPr="00F5074E" w:rsidRDefault="00083F35" w:rsidP="00083F35">
    <w:pPr>
      <w:pStyle w:val="Footer"/>
      <w:rPr>
        <w:lang w:val="sr-Latn-CS"/>
      </w:rPr>
    </w:pPr>
  </w:p>
  <w:p w:rsidR="00083F35" w:rsidRDefault="00083F35" w:rsidP="00083F35">
    <w:pPr>
      <w:pStyle w:val="Footer"/>
    </w:pPr>
  </w:p>
  <w:p w:rsidR="00083F35" w:rsidRDefault="00083F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EB" w:rsidRDefault="00984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6E" w:rsidRDefault="0002136E" w:rsidP="00083F35">
      <w:pPr>
        <w:spacing w:after="0" w:line="240" w:lineRule="auto"/>
      </w:pPr>
      <w:r>
        <w:separator/>
      </w:r>
    </w:p>
  </w:footnote>
  <w:footnote w:type="continuationSeparator" w:id="0">
    <w:p w:rsidR="0002136E" w:rsidRDefault="0002136E" w:rsidP="00083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EB" w:rsidRDefault="00984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EB" w:rsidRDefault="00984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3EB" w:rsidRDefault="009843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427011"/>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6F1395"/>
    <w:multiLevelType w:val="hybridMultilevel"/>
    <w:tmpl w:val="02E2FF88"/>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nsid w:val="48A472EA"/>
    <w:multiLevelType w:val="hybridMultilevel"/>
    <w:tmpl w:val="74926EFC"/>
    <w:lvl w:ilvl="0" w:tplc="08090001">
      <w:start w:val="1"/>
      <w:numFmt w:val="bullet"/>
      <w:lvlText w:val=""/>
      <w:lvlJc w:val="left"/>
      <w:pPr>
        <w:ind w:left="3425" w:hanging="360"/>
      </w:pPr>
      <w:rPr>
        <w:rFonts w:ascii="Symbol" w:hAnsi="Symbol" w:hint="default"/>
      </w:rPr>
    </w:lvl>
    <w:lvl w:ilvl="1" w:tplc="08090003" w:tentative="1">
      <w:start w:val="1"/>
      <w:numFmt w:val="bullet"/>
      <w:lvlText w:val="o"/>
      <w:lvlJc w:val="left"/>
      <w:pPr>
        <w:ind w:left="4145" w:hanging="360"/>
      </w:pPr>
      <w:rPr>
        <w:rFonts w:ascii="Courier New" w:hAnsi="Courier New" w:cs="Courier New" w:hint="default"/>
      </w:rPr>
    </w:lvl>
    <w:lvl w:ilvl="2" w:tplc="08090005" w:tentative="1">
      <w:start w:val="1"/>
      <w:numFmt w:val="bullet"/>
      <w:lvlText w:val=""/>
      <w:lvlJc w:val="left"/>
      <w:pPr>
        <w:ind w:left="4865" w:hanging="360"/>
      </w:pPr>
      <w:rPr>
        <w:rFonts w:ascii="Wingdings" w:hAnsi="Wingdings" w:hint="default"/>
      </w:rPr>
    </w:lvl>
    <w:lvl w:ilvl="3" w:tplc="08090001" w:tentative="1">
      <w:start w:val="1"/>
      <w:numFmt w:val="bullet"/>
      <w:lvlText w:val=""/>
      <w:lvlJc w:val="left"/>
      <w:pPr>
        <w:ind w:left="5585" w:hanging="360"/>
      </w:pPr>
      <w:rPr>
        <w:rFonts w:ascii="Symbol" w:hAnsi="Symbol" w:hint="default"/>
      </w:rPr>
    </w:lvl>
    <w:lvl w:ilvl="4" w:tplc="08090003" w:tentative="1">
      <w:start w:val="1"/>
      <w:numFmt w:val="bullet"/>
      <w:lvlText w:val="o"/>
      <w:lvlJc w:val="left"/>
      <w:pPr>
        <w:ind w:left="6305" w:hanging="360"/>
      </w:pPr>
      <w:rPr>
        <w:rFonts w:ascii="Courier New" w:hAnsi="Courier New" w:cs="Courier New" w:hint="default"/>
      </w:rPr>
    </w:lvl>
    <w:lvl w:ilvl="5" w:tplc="08090005" w:tentative="1">
      <w:start w:val="1"/>
      <w:numFmt w:val="bullet"/>
      <w:lvlText w:val=""/>
      <w:lvlJc w:val="left"/>
      <w:pPr>
        <w:ind w:left="7025" w:hanging="360"/>
      </w:pPr>
      <w:rPr>
        <w:rFonts w:ascii="Wingdings" w:hAnsi="Wingdings" w:hint="default"/>
      </w:rPr>
    </w:lvl>
    <w:lvl w:ilvl="6" w:tplc="08090001" w:tentative="1">
      <w:start w:val="1"/>
      <w:numFmt w:val="bullet"/>
      <w:lvlText w:val=""/>
      <w:lvlJc w:val="left"/>
      <w:pPr>
        <w:ind w:left="7745" w:hanging="360"/>
      </w:pPr>
      <w:rPr>
        <w:rFonts w:ascii="Symbol" w:hAnsi="Symbol" w:hint="default"/>
      </w:rPr>
    </w:lvl>
    <w:lvl w:ilvl="7" w:tplc="08090003" w:tentative="1">
      <w:start w:val="1"/>
      <w:numFmt w:val="bullet"/>
      <w:lvlText w:val="o"/>
      <w:lvlJc w:val="left"/>
      <w:pPr>
        <w:ind w:left="8465" w:hanging="360"/>
      </w:pPr>
      <w:rPr>
        <w:rFonts w:ascii="Courier New" w:hAnsi="Courier New" w:cs="Courier New" w:hint="default"/>
      </w:rPr>
    </w:lvl>
    <w:lvl w:ilvl="8" w:tplc="08090005" w:tentative="1">
      <w:start w:val="1"/>
      <w:numFmt w:val="bullet"/>
      <w:lvlText w:val=""/>
      <w:lvlJc w:val="left"/>
      <w:pPr>
        <w:ind w:left="9185" w:hanging="360"/>
      </w:pPr>
      <w:rPr>
        <w:rFonts w:ascii="Wingdings" w:hAnsi="Wingdings" w:hint="default"/>
      </w:rPr>
    </w:lvl>
  </w:abstractNum>
  <w:abstractNum w:abstractNumId="10">
    <w:nsid w:val="4D295E43"/>
    <w:multiLevelType w:val="hybridMultilevel"/>
    <w:tmpl w:val="E70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40B2C"/>
    <w:multiLevelType w:val="hybridMultilevel"/>
    <w:tmpl w:val="92589C96"/>
    <w:lvl w:ilvl="0" w:tplc="08090001">
      <w:start w:val="1"/>
      <w:numFmt w:val="bullet"/>
      <w:lvlText w:val=""/>
      <w:lvlJc w:val="left"/>
      <w:pPr>
        <w:ind w:left="3065" w:hanging="360"/>
      </w:pPr>
      <w:rPr>
        <w:rFonts w:ascii="Symbol" w:hAnsi="Symbol" w:hint="default"/>
      </w:rPr>
    </w:lvl>
    <w:lvl w:ilvl="1" w:tplc="08090003" w:tentative="1">
      <w:start w:val="1"/>
      <w:numFmt w:val="bullet"/>
      <w:lvlText w:val="o"/>
      <w:lvlJc w:val="left"/>
      <w:pPr>
        <w:ind w:left="3785" w:hanging="360"/>
      </w:pPr>
      <w:rPr>
        <w:rFonts w:ascii="Courier New" w:hAnsi="Courier New" w:cs="Courier New" w:hint="default"/>
      </w:rPr>
    </w:lvl>
    <w:lvl w:ilvl="2" w:tplc="08090005" w:tentative="1">
      <w:start w:val="1"/>
      <w:numFmt w:val="bullet"/>
      <w:lvlText w:val=""/>
      <w:lvlJc w:val="left"/>
      <w:pPr>
        <w:ind w:left="4505" w:hanging="360"/>
      </w:pPr>
      <w:rPr>
        <w:rFonts w:ascii="Wingdings" w:hAnsi="Wingdings" w:hint="default"/>
      </w:rPr>
    </w:lvl>
    <w:lvl w:ilvl="3" w:tplc="08090001" w:tentative="1">
      <w:start w:val="1"/>
      <w:numFmt w:val="bullet"/>
      <w:lvlText w:val=""/>
      <w:lvlJc w:val="left"/>
      <w:pPr>
        <w:ind w:left="5225" w:hanging="360"/>
      </w:pPr>
      <w:rPr>
        <w:rFonts w:ascii="Symbol" w:hAnsi="Symbol" w:hint="default"/>
      </w:rPr>
    </w:lvl>
    <w:lvl w:ilvl="4" w:tplc="08090003" w:tentative="1">
      <w:start w:val="1"/>
      <w:numFmt w:val="bullet"/>
      <w:lvlText w:val="o"/>
      <w:lvlJc w:val="left"/>
      <w:pPr>
        <w:ind w:left="5945" w:hanging="360"/>
      </w:pPr>
      <w:rPr>
        <w:rFonts w:ascii="Courier New" w:hAnsi="Courier New" w:cs="Courier New" w:hint="default"/>
      </w:rPr>
    </w:lvl>
    <w:lvl w:ilvl="5" w:tplc="08090005" w:tentative="1">
      <w:start w:val="1"/>
      <w:numFmt w:val="bullet"/>
      <w:lvlText w:val=""/>
      <w:lvlJc w:val="left"/>
      <w:pPr>
        <w:ind w:left="6665" w:hanging="360"/>
      </w:pPr>
      <w:rPr>
        <w:rFonts w:ascii="Wingdings" w:hAnsi="Wingdings" w:hint="default"/>
      </w:rPr>
    </w:lvl>
    <w:lvl w:ilvl="6" w:tplc="08090001" w:tentative="1">
      <w:start w:val="1"/>
      <w:numFmt w:val="bullet"/>
      <w:lvlText w:val=""/>
      <w:lvlJc w:val="left"/>
      <w:pPr>
        <w:ind w:left="7385" w:hanging="360"/>
      </w:pPr>
      <w:rPr>
        <w:rFonts w:ascii="Symbol" w:hAnsi="Symbol" w:hint="default"/>
      </w:rPr>
    </w:lvl>
    <w:lvl w:ilvl="7" w:tplc="08090003" w:tentative="1">
      <w:start w:val="1"/>
      <w:numFmt w:val="bullet"/>
      <w:lvlText w:val="o"/>
      <w:lvlJc w:val="left"/>
      <w:pPr>
        <w:ind w:left="8105" w:hanging="360"/>
      </w:pPr>
      <w:rPr>
        <w:rFonts w:ascii="Courier New" w:hAnsi="Courier New" w:cs="Courier New" w:hint="default"/>
      </w:rPr>
    </w:lvl>
    <w:lvl w:ilvl="8" w:tplc="08090005" w:tentative="1">
      <w:start w:val="1"/>
      <w:numFmt w:val="bullet"/>
      <w:lvlText w:val=""/>
      <w:lvlJc w:val="left"/>
      <w:pPr>
        <w:ind w:left="8825" w:hanging="360"/>
      </w:pPr>
      <w:rPr>
        <w:rFonts w:ascii="Wingdings" w:hAnsi="Wingdings" w:hint="default"/>
      </w:rPr>
    </w:lvl>
  </w:abstractNum>
  <w:abstractNum w:abstractNumId="14">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7"/>
  </w:num>
  <w:num w:numId="3">
    <w:abstractNumId w:val="4"/>
  </w:num>
  <w:num w:numId="4">
    <w:abstractNumId w:val="14"/>
  </w:num>
  <w:num w:numId="5">
    <w:abstractNumId w:val="5"/>
  </w:num>
  <w:num w:numId="6">
    <w:abstractNumId w:val="6"/>
  </w:num>
  <w:num w:numId="7">
    <w:abstractNumId w:val="12"/>
  </w:num>
  <w:num w:numId="8">
    <w:abstractNumId w:val="11"/>
  </w:num>
  <w:num w:numId="9">
    <w:abstractNumId w:val="10"/>
  </w:num>
  <w:num w:numId="10">
    <w:abstractNumId w:val="1"/>
  </w:num>
  <w:num w:numId="11">
    <w:abstractNumId w:val="3"/>
  </w:num>
  <w:num w:numId="12">
    <w:abstractNumId w:val="9"/>
  </w:num>
  <w:num w:numId="13">
    <w:abstractNumId w:val="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D6E25"/>
    <w:rsid w:val="00001FD9"/>
    <w:rsid w:val="00005BE2"/>
    <w:rsid w:val="00011DE5"/>
    <w:rsid w:val="00016B22"/>
    <w:rsid w:val="0002136E"/>
    <w:rsid w:val="00021B6A"/>
    <w:rsid w:val="00023254"/>
    <w:rsid w:val="00033918"/>
    <w:rsid w:val="000430BD"/>
    <w:rsid w:val="000532DB"/>
    <w:rsid w:val="00055D3F"/>
    <w:rsid w:val="0006550E"/>
    <w:rsid w:val="00065818"/>
    <w:rsid w:val="00081FA7"/>
    <w:rsid w:val="00083F35"/>
    <w:rsid w:val="00093924"/>
    <w:rsid w:val="000952E6"/>
    <w:rsid w:val="000A1FA5"/>
    <w:rsid w:val="000A4162"/>
    <w:rsid w:val="000A45B1"/>
    <w:rsid w:val="000B3DF3"/>
    <w:rsid w:val="000B50C2"/>
    <w:rsid w:val="000C24E9"/>
    <w:rsid w:val="000C6E81"/>
    <w:rsid w:val="000D07CF"/>
    <w:rsid w:val="000D6EF0"/>
    <w:rsid w:val="000E259C"/>
    <w:rsid w:val="000F2A3F"/>
    <w:rsid w:val="0012515E"/>
    <w:rsid w:val="001261A9"/>
    <w:rsid w:val="001311AB"/>
    <w:rsid w:val="001313AE"/>
    <w:rsid w:val="0013478F"/>
    <w:rsid w:val="00134E79"/>
    <w:rsid w:val="00147F26"/>
    <w:rsid w:val="001537F3"/>
    <w:rsid w:val="00155176"/>
    <w:rsid w:val="001572BB"/>
    <w:rsid w:val="00163059"/>
    <w:rsid w:val="0018077A"/>
    <w:rsid w:val="00185968"/>
    <w:rsid w:val="00195D05"/>
    <w:rsid w:val="001A4007"/>
    <w:rsid w:val="001B3EC5"/>
    <w:rsid w:val="001D7BAD"/>
    <w:rsid w:val="001F550B"/>
    <w:rsid w:val="00201406"/>
    <w:rsid w:val="00215659"/>
    <w:rsid w:val="002207C4"/>
    <w:rsid w:val="00220D68"/>
    <w:rsid w:val="00221593"/>
    <w:rsid w:val="002324D3"/>
    <w:rsid w:val="00235149"/>
    <w:rsid w:val="0024580B"/>
    <w:rsid w:val="00246CA2"/>
    <w:rsid w:val="00250454"/>
    <w:rsid w:val="00250746"/>
    <w:rsid w:val="002519CE"/>
    <w:rsid w:val="002520DD"/>
    <w:rsid w:val="00253AD2"/>
    <w:rsid w:val="00274922"/>
    <w:rsid w:val="0027644A"/>
    <w:rsid w:val="00281E01"/>
    <w:rsid w:val="00282531"/>
    <w:rsid w:val="00284980"/>
    <w:rsid w:val="002A191C"/>
    <w:rsid w:val="002A271B"/>
    <w:rsid w:val="002A4E1D"/>
    <w:rsid w:val="002B65C9"/>
    <w:rsid w:val="002B699C"/>
    <w:rsid w:val="002C0B20"/>
    <w:rsid w:val="002D6AD7"/>
    <w:rsid w:val="002D6E25"/>
    <w:rsid w:val="002F55CB"/>
    <w:rsid w:val="00306A8F"/>
    <w:rsid w:val="00310452"/>
    <w:rsid w:val="00311D11"/>
    <w:rsid w:val="00345CC7"/>
    <w:rsid w:val="003473FD"/>
    <w:rsid w:val="00355A86"/>
    <w:rsid w:val="00362F64"/>
    <w:rsid w:val="003762E4"/>
    <w:rsid w:val="003779ED"/>
    <w:rsid w:val="00380CD7"/>
    <w:rsid w:val="00394072"/>
    <w:rsid w:val="00394F6F"/>
    <w:rsid w:val="00396040"/>
    <w:rsid w:val="003A5C0C"/>
    <w:rsid w:val="003B649D"/>
    <w:rsid w:val="003B7AE9"/>
    <w:rsid w:val="003C3679"/>
    <w:rsid w:val="003F0D07"/>
    <w:rsid w:val="003F4C23"/>
    <w:rsid w:val="00404D76"/>
    <w:rsid w:val="00412946"/>
    <w:rsid w:val="00412F3F"/>
    <w:rsid w:val="0041755B"/>
    <w:rsid w:val="00417B06"/>
    <w:rsid w:val="00421C6D"/>
    <w:rsid w:val="00436BFB"/>
    <w:rsid w:val="004408A2"/>
    <w:rsid w:val="00442AFA"/>
    <w:rsid w:val="0044518B"/>
    <w:rsid w:val="004502B4"/>
    <w:rsid w:val="004511C2"/>
    <w:rsid w:val="00460C34"/>
    <w:rsid w:val="00463902"/>
    <w:rsid w:val="0047499D"/>
    <w:rsid w:val="00484B44"/>
    <w:rsid w:val="0049529A"/>
    <w:rsid w:val="004A080A"/>
    <w:rsid w:val="004A083A"/>
    <w:rsid w:val="004A689C"/>
    <w:rsid w:val="004E4A0E"/>
    <w:rsid w:val="004E4DE2"/>
    <w:rsid w:val="004F7C39"/>
    <w:rsid w:val="00501254"/>
    <w:rsid w:val="005028A2"/>
    <w:rsid w:val="00507486"/>
    <w:rsid w:val="005145B9"/>
    <w:rsid w:val="00521E5B"/>
    <w:rsid w:val="005233C7"/>
    <w:rsid w:val="00525CE4"/>
    <w:rsid w:val="00526191"/>
    <w:rsid w:val="00526B09"/>
    <w:rsid w:val="005279C3"/>
    <w:rsid w:val="00542712"/>
    <w:rsid w:val="0055433D"/>
    <w:rsid w:val="0056767C"/>
    <w:rsid w:val="005758C2"/>
    <w:rsid w:val="0059284E"/>
    <w:rsid w:val="005A5742"/>
    <w:rsid w:val="005B462E"/>
    <w:rsid w:val="005E2DC3"/>
    <w:rsid w:val="006023AF"/>
    <w:rsid w:val="00605693"/>
    <w:rsid w:val="00610360"/>
    <w:rsid w:val="00621E23"/>
    <w:rsid w:val="00623D43"/>
    <w:rsid w:val="0062567A"/>
    <w:rsid w:val="00627C47"/>
    <w:rsid w:val="006655D3"/>
    <w:rsid w:val="00681F84"/>
    <w:rsid w:val="006863DF"/>
    <w:rsid w:val="00686A57"/>
    <w:rsid w:val="00687AC1"/>
    <w:rsid w:val="00687B7F"/>
    <w:rsid w:val="006C15A8"/>
    <w:rsid w:val="006C2566"/>
    <w:rsid w:val="006D28FD"/>
    <w:rsid w:val="006E2D1F"/>
    <w:rsid w:val="006E3260"/>
    <w:rsid w:val="006E494D"/>
    <w:rsid w:val="006E69D8"/>
    <w:rsid w:val="006F2451"/>
    <w:rsid w:val="006F263B"/>
    <w:rsid w:val="00703591"/>
    <w:rsid w:val="007060FF"/>
    <w:rsid w:val="007146FA"/>
    <w:rsid w:val="00732D76"/>
    <w:rsid w:val="00744858"/>
    <w:rsid w:val="0074669E"/>
    <w:rsid w:val="0075079A"/>
    <w:rsid w:val="007848D6"/>
    <w:rsid w:val="0078794D"/>
    <w:rsid w:val="00790B38"/>
    <w:rsid w:val="0079371B"/>
    <w:rsid w:val="007A45EA"/>
    <w:rsid w:val="007A5FF3"/>
    <w:rsid w:val="007B2F5F"/>
    <w:rsid w:val="007C65C1"/>
    <w:rsid w:val="007D2DA7"/>
    <w:rsid w:val="007E34F5"/>
    <w:rsid w:val="007E3A0A"/>
    <w:rsid w:val="007F0F3B"/>
    <w:rsid w:val="00801519"/>
    <w:rsid w:val="00802227"/>
    <w:rsid w:val="00803D57"/>
    <w:rsid w:val="00822D72"/>
    <w:rsid w:val="008263C1"/>
    <w:rsid w:val="00842682"/>
    <w:rsid w:val="0084337A"/>
    <w:rsid w:val="00844BD2"/>
    <w:rsid w:val="008473F8"/>
    <w:rsid w:val="0085018E"/>
    <w:rsid w:val="00855428"/>
    <w:rsid w:val="00870D84"/>
    <w:rsid w:val="008727AE"/>
    <w:rsid w:val="0088741C"/>
    <w:rsid w:val="00897454"/>
    <w:rsid w:val="008A4286"/>
    <w:rsid w:val="008A445F"/>
    <w:rsid w:val="008A52B3"/>
    <w:rsid w:val="008B3F47"/>
    <w:rsid w:val="008C39A7"/>
    <w:rsid w:val="008D3F78"/>
    <w:rsid w:val="008D65A7"/>
    <w:rsid w:val="008F59E9"/>
    <w:rsid w:val="008F62E9"/>
    <w:rsid w:val="008F774F"/>
    <w:rsid w:val="00906A3D"/>
    <w:rsid w:val="00921E6F"/>
    <w:rsid w:val="00934D61"/>
    <w:rsid w:val="009432B5"/>
    <w:rsid w:val="00947ACB"/>
    <w:rsid w:val="0095334B"/>
    <w:rsid w:val="00962EBD"/>
    <w:rsid w:val="00967FCF"/>
    <w:rsid w:val="009706D3"/>
    <w:rsid w:val="00970D81"/>
    <w:rsid w:val="009777ED"/>
    <w:rsid w:val="009836CF"/>
    <w:rsid w:val="009843EB"/>
    <w:rsid w:val="00994FB1"/>
    <w:rsid w:val="009B341F"/>
    <w:rsid w:val="009B3CCA"/>
    <w:rsid w:val="009C19D5"/>
    <w:rsid w:val="009C3B32"/>
    <w:rsid w:val="009C6217"/>
    <w:rsid w:val="009D29C6"/>
    <w:rsid w:val="009E33F0"/>
    <w:rsid w:val="009F04D0"/>
    <w:rsid w:val="009F0733"/>
    <w:rsid w:val="009F1166"/>
    <w:rsid w:val="009F2448"/>
    <w:rsid w:val="009F5074"/>
    <w:rsid w:val="009F6921"/>
    <w:rsid w:val="00A1220E"/>
    <w:rsid w:val="00A335A3"/>
    <w:rsid w:val="00A44BE5"/>
    <w:rsid w:val="00A45F95"/>
    <w:rsid w:val="00A4704A"/>
    <w:rsid w:val="00A60975"/>
    <w:rsid w:val="00A643F6"/>
    <w:rsid w:val="00A74CAB"/>
    <w:rsid w:val="00A92081"/>
    <w:rsid w:val="00AB2B7D"/>
    <w:rsid w:val="00AB5117"/>
    <w:rsid w:val="00AC219F"/>
    <w:rsid w:val="00AC3567"/>
    <w:rsid w:val="00AC6C7F"/>
    <w:rsid w:val="00AC7A57"/>
    <w:rsid w:val="00AD331E"/>
    <w:rsid w:val="00AD7BB3"/>
    <w:rsid w:val="00AE1A6E"/>
    <w:rsid w:val="00AE2DCC"/>
    <w:rsid w:val="00AF1C32"/>
    <w:rsid w:val="00AF2695"/>
    <w:rsid w:val="00AF4E9F"/>
    <w:rsid w:val="00AF5AB9"/>
    <w:rsid w:val="00B062C7"/>
    <w:rsid w:val="00B172D4"/>
    <w:rsid w:val="00B17E2E"/>
    <w:rsid w:val="00B30A48"/>
    <w:rsid w:val="00B36F98"/>
    <w:rsid w:val="00B41908"/>
    <w:rsid w:val="00B43D36"/>
    <w:rsid w:val="00B4792E"/>
    <w:rsid w:val="00B557B0"/>
    <w:rsid w:val="00B727C3"/>
    <w:rsid w:val="00B736E4"/>
    <w:rsid w:val="00B758ED"/>
    <w:rsid w:val="00B91312"/>
    <w:rsid w:val="00BA0697"/>
    <w:rsid w:val="00BB2642"/>
    <w:rsid w:val="00BF3B9D"/>
    <w:rsid w:val="00BF4B7A"/>
    <w:rsid w:val="00BF77BD"/>
    <w:rsid w:val="00C07175"/>
    <w:rsid w:val="00C13DF4"/>
    <w:rsid w:val="00C30706"/>
    <w:rsid w:val="00C31F0D"/>
    <w:rsid w:val="00C330BD"/>
    <w:rsid w:val="00C332A5"/>
    <w:rsid w:val="00C33D99"/>
    <w:rsid w:val="00C4327A"/>
    <w:rsid w:val="00C477C4"/>
    <w:rsid w:val="00C675BE"/>
    <w:rsid w:val="00C72ABD"/>
    <w:rsid w:val="00C72BDD"/>
    <w:rsid w:val="00C9075A"/>
    <w:rsid w:val="00C907D9"/>
    <w:rsid w:val="00CB278C"/>
    <w:rsid w:val="00CB56B2"/>
    <w:rsid w:val="00CB6AB2"/>
    <w:rsid w:val="00CE01A9"/>
    <w:rsid w:val="00CE5A41"/>
    <w:rsid w:val="00CF487C"/>
    <w:rsid w:val="00D11ED3"/>
    <w:rsid w:val="00D16D50"/>
    <w:rsid w:val="00D30205"/>
    <w:rsid w:val="00D3614A"/>
    <w:rsid w:val="00D50D6B"/>
    <w:rsid w:val="00D80D41"/>
    <w:rsid w:val="00DB475B"/>
    <w:rsid w:val="00DB5174"/>
    <w:rsid w:val="00DC53C0"/>
    <w:rsid w:val="00DD409A"/>
    <w:rsid w:val="00DE4974"/>
    <w:rsid w:val="00DE641A"/>
    <w:rsid w:val="00DF1EC7"/>
    <w:rsid w:val="00DF6DC7"/>
    <w:rsid w:val="00E216C1"/>
    <w:rsid w:val="00E273B8"/>
    <w:rsid w:val="00E3541A"/>
    <w:rsid w:val="00E42E7B"/>
    <w:rsid w:val="00E42FCE"/>
    <w:rsid w:val="00E5388E"/>
    <w:rsid w:val="00E55913"/>
    <w:rsid w:val="00E578E1"/>
    <w:rsid w:val="00E60549"/>
    <w:rsid w:val="00E67A14"/>
    <w:rsid w:val="00E736BD"/>
    <w:rsid w:val="00E748EA"/>
    <w:rsid w:val="00E75A18"/>
    <w:rsid w:val="00E81C16"/>
    <w:rsid w:val="00E8636B"/>
    <w:rsid w:val="00E95143"/>
    <w:rsid w:val="00E97417"/>
    <w:rsid w:val="00E9799A"/>
    <w:rsid w:val="00EA02F9"/>
    <w:rsid w:val="00EA4DE6"/>
    <w:rsid w:val="00EB693E"/>
    <w:rsid w:val="00EC0E14"/>
    <w:rsid w:val="00EC3A01"/>
    <w:rsid w:val="00EC79BA"/>
    <w:rsid w:val="00ED5AE5"/>
    <w:rsid w:val="00ED6A82"/>
    <w:rsid w:val="00EF1E4B"/>
    <w:rsid w:val="00EF3DC4"/>
    <w:rsid w:val="00EF5D91"/>
    <w:rsid w:val="00EF73B5"/>
    <w:rsid w:val="00F03715"/>
    <w:rsid w:val="00F13987"/>
    <w:rsid w:val="00F27695"/>
    <w:rsid w:val="00F27E4F"/>
    <w:rsid w:val="00F303C0"/>
    <w:rsid w:val="00F42B00"/>
    <w:rsid w:val="00F5074E"/>
    <w:rsid w:val="00F520A4"/>
    <w:rsid w:val="00F55C3F"/>
    <w:rsid w:val="00F56694"/>
    <w:rsid w:val="00F62268"/>
    <w:rsid w:val="00F66E45"/>
    <w:rsid w:val="00F7009C"/>
    <w:rsid w:val="00F715B5"/>
    <w:rsid w:val="00F80E14"/>
    <w:rsid w:val="00F8290C"/>
    <w:rsid w:val="00F8425E"/>
    <w:rsid w:val="00FA431E"/>
    <w:rsid w:val="00FA7344"/>
    <w:rsid w:val="00FC5AA1"/>
    <w:rsid w:val="00FC73F9"/>
    <w:rsid w:val="00FD5E00"/>
    <w:rsid w:val="00FE54E3"/>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table" w:styleId="TableGrid">
    <w:name w:val="Table Grid"/>
    <w:basedOn w:val="TableNormal"/>
    <w:rsid w:val="00185968"/>
    <w:pPr>
      <w:spacing w:after="0" w:line="240" w:lineRule="auto"/>
    </w:pPr>
    <w:rPr>
      <w:rFonts w:ascii="Times New Roman" w:eastAsia="Times New Roman" w:hAnsi="Times New Roman" w:cs="Times New Roman"/>
      <w:sz w:val="20"/>
      <w:szCs w:val="20"/>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5A5742"/>
    <w:pPr>
      <w:spacing w:after="0" w:line="240" w:lineRule="auto"/>
    </w:pPr>
    <w:rPr>
      <w:rFonts w:ascii="Calibri" w:eastAsia="WenQuanYi Micro Hei" w:hAnsi="Calibri" w:cs="Calibri"/>
      <w:color w:val="00000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537F-4808-4400-88C1-C2927DBD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Jelena Petrović</cp:lastModifiedBy>
  <cp:revision>13</cp:revision>
  <dcterms:created xsi:type="dcterms:W3CDTF">2016-02-22T11:45:00Z</dcterms:created>
  <dcterms:modified xsi:type="dcterms:W3CDTF">2016-03-16T11:31:00Z</dcterms:modified>
</cp:coreProperties>
</file>