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03" w:type="pct"/>
        <w:tblInd w:w="2394" w:type="dxa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763"/>
      </w:tblGrid>
      <w:tr w:rsidR="00B01ECD" w:rsidRPr="00332EE9" w:rsidTr="00CD25F8">
        <w:trPr>
          <w:trHeight w:val="379"/>
        </w:trPr>
        <w:sdt>
          <w:sdtPr>
            <w:rPr>
              <w:rFonts w:ascii="Times New Roman" w:eastAsiaTheme="majorEastAsia" w:hAnsi="Times New Roman" w:cs="Times New Roman"/>
              <w:b/>
              <w:color w:val="BFBFBF" w:themeColor="background1" w:themeShade="BF"/>
              <w:sz w:val="28"/>
              <w:szCs w:val="36"/>
            </w:rPr>
            <w:alias w:val="Title"/>
            <w:id w:val="61703051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938" w:type="dxa"/>
              </w:tcPr>
              <w:p w:rsidR="00B01ECD" w:rsidRPr="00332EE9" w:rsidRDefault="00B01ECD" w:rsidP="00CD25F8">
                <w:pPr>
                  <w:pStyle w:val="Header"/>
                  <w:jc w:val="right"/>
                  <w:rPr>
                    <w:rFonts w:ascii="Times New Roman" w:eastAsiaTheme="majorEastAsia" w:hAnsi="Times New Roman" w:cs="Times New Roman"/>
                    <w:sz w:val="36"/>
                    <w:szCs w:val="36"/>
                  </w:rPr>
                </w:pPr>
                <w:r w:rsidRPr="00332EE9">
                  <w:rPr>
                    <w:rFonts w:ascii="Times New Roman" w:eastAsiaTheme="majorEastAsia" w:hAnsi="Times New Roman" w:cs="Times New Roman"/>
                    <w:b/>
                    <w:color w:val="BFBFBF" w:themeColor="background1" w:themeShade="BF"/>
                    <w:sz w:val="28"/>
                    <w:szCs w:val="36"/>
                  </w:rPr>
                  <w:t>Regionalni program stambenog zbrinjavanja</w:t>
                </w:r>
              </w:p>
            </w:tc>
          </w:sdtContent>
        </w:sdt>
      </w:tr>
    </w:tbl>
    <w:p w:rsidR="00B01ECD" w:rsidRPr="00332EE9" w:rsidRDefault="00B01ECD" w:rsidP="00B01ECD">
      <w:pPr>
        <w:pStyle w:val="Header"/>
        <w:rPr>
          <w:rFonts w:ascii="Times New Roman" w:hAnsi="Times New Roman" w:cs="Times New Roman"/>
        </w:rPr>
      </w:pPr>
      <w:r w:rsidRPr="00332EE9">
        <w:rPr>
          <w:rFonts w:ascii="Times New Roman" w:eastAsiaTheme="majorEastAsia" w:hAnsi="Times New Roman" w:cs="Times New Roman"/>
          <w:b/>
          <w:noProof/>
          <w:color w:val="FFFFFF" w:themeColor="background1"/>
          <w:sz w:val="32"/>
          <w:szCs w:val="36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1E4DD0CE" wp14:editId="2A502037">
            <wp:simplePos x="0" y="0"/>
            <wp:positionH relativeFrom="column">
              <wp:posOffset>120135</wp:posOffset>
            </wp:positionH>
            <wp:positionV relativeFrom="paragraph">
              <wp:posOffset>-344541</wp:posOffset>
            </wp:positionV>
            <wp:extent cx="966159" cy="982361"/>
            <wp:effectExtent l="0" t="0" r="5715" b="8255"/>
            <wp:wrapNone/>
            <wp:docPr id="2" name="Picture 2" descr="C:\Users\jelenam\Desktop\logo r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m\Desktop\logo rh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59" cy="98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CD" w:rsidRPr="00332EE9" w:rsidRDefault="00B01ECD" w:rsidP="00B01ECD">
      <w:pPr>
        <w:pStyle w:val="Header"/>
        <w:tabs>
          <w:tab w:val="left" w:pos="285"/>
          <w:tab w:val="right" w:pos="10206"/>
        </w:tabs>
        <w:rPr>
          <w:rFonts w:ascii="Times New Roman" w:eastAsiaTheme="majorEastAsia" w:hAnsi="Times New Roman" w:cs="Times New Roman"/>
          <w:b/>
          <w:color w:val="BFBFBF" w:themeColor="background1" w:themeShade="BF"/>
          <w:sz w:val="32"/>
          <w:szCs w:val="36"/>
        </w:rPr>
      </w:pPr>
      <w:r w:rsidRPr="00332EE9">
        <w:rPr>
          <w:rFonts w:ascii="Times New Roman" w:eastAsiaTheme="majorEastAsia" w:hAnsi="Times New Roman" w:cs="Times New Roman"/>
          <w:b/>
          <w:color w:val="BFBFBF" w:themeColor="background1" w:themeShade="BF"/>
          <w:sz w:val="32"/>
          <w:szCs w:val="36"/>
        </w:rPr>
        <w:tab/>
      </w:r>
      <w:r w:rsidRPr="00332EE9">
        <w:rPr>
          <w:rFonts w:ascii="Times New Roman" w:eastAsiaTheme="majorEastAsia" w:hAnsi="Times New Roman" w:cs="Times New Roman"/>
          <w:b/>
          <w:color w:val="BFBFBF" w:themeColor="background1" w:themeShade="BF"/>
          <w:sz w:val="32"/>
          <w:szCs w:val="36"/>
        </w:rPr>
        <w:tab/>
      </w:r>
      <w:r w:rsidRPr="00332EE9">
        <w:rPr>
          <w:rFonts w:ascii="Times New Roman" w:eastAsiaTheme="majorEastAsia" w:hAnsi="Times New Roman" w:cs="Times New Roman"/>
          <w:b/>
          <w:color w:val="BFBFBF" w:themeColor="background1" w:themeShade="BF"/>
          <w:sz w:val="28"/>
          <w:szCs w:val="36"/>
        </w:rPr>
        <w:t xml:space="preserve">                                                     </w:t>
      </w:r>
      <w:r w:rsidR="000057F2">
        <w:rPr>
          <w:rFonts w:ascii="Times New Roman" w:eastAsiaTheme="majorEastAsia" w:hAnsi="Times New Roman" w:cs="Times New Roman"/>
          <w:b/>
          <w:color w:val="BFBFBF" w:themeColor="background1" w:themeShade="BF"/>
          <w:sz w:val="28"/>
          <w:szCs w:val="36"/>
        </w:rPr>
        <w:t xml:space="preserve">                          RHP-W2-АB/NO</w:t>
      </w:r>
      <w:r w:rsidR="004C6641">
        <w:rPr>
          <w:rFonts w:ascii="Times New Roman" w:eastAsiaTheme="majorEastAsia" w:hAnsi="Times New Roman" w:cs="Times New Roman"/>
          <w:b/>
          <w:color w:val="BFBFBF" w:themeColor="background1" w:themeShade="BF"/>
          <w:sz w:val="28"/>
          <w:szCs w:val="36"/>
        </w:rPr>
        <w:t>P</w:t>
      </w:r>
      <w:r w:rsidR="000057F2">
        <w:rPr>
          <w:rFonts w:ascii="Times New Roman" w:eastAsiaTheme="majorEastAsia" w:hAnsi="Times New Roman" w:cs="Times New Roman"/>
          <w:b/>
          <w:color w:val="BFBFBF" w:themeColor="background1" w:themeShade="BF"/>
          <w:sz w:val="28"/>
          <w:szCs w:val="36"/>
        </w:rPr>
        <w:t>2-2016</w:t>
      </w:r>
    </w:p>
    <w:p w:rsidR="00B01ECD" w:rsidRPr="00332EE9" w:rsidRDefault="00B01ECD" w:rsidP="00B01ECD">
      <w:pPr>
        <w:pStyle w:val="Header"/>
        <w:jc w:val="right"/>
        <w:rPr>
          <w:rFonts w:ascii="Times New Roman" w:hAnsi="Times New Roman" w:cs="Times New Roman"/>
          <w:b/>
          <w:color w:val="BFBFBF" w:themeColor="background1" w:themeShade="BF"/>
        </w:rPr>
      </w:pPr>
    </w:p>
    <w:p w:rsidR="00B01ECD" w:rsidRPr="00332EE9" w:rsidRDefault="00B01ECD" w:rsidP="00B01ECD">
      <w:pPr>
        <w:pStyle w:val="Header"/>
        <w:jc w:val="right"/>
        <w:rPr>
          <w:rFonts w:ascii="Times New Roman" w:hAnsi="Times New Roman" w:cs="Times New Roman"/>
          <w:b/>
          <w:color w:val="BFBFBF" w:themeColor="background1" w:themeShade="BF"/>
        </w:rPr>
      </w:pPr>
    </w:p>
    <w:p w:rsidR="00B01ECD" w:rsidRPr="00332EE9" w:rsidRDefault="000057F2" w:rsidP="00B01ECD">
      <w:pPr>
        <w:pStyle w:val="Header"/>
        <w:pBdr>
          <w:bottom w:val="single" w:sz="12" w:space="1" w:color="auto"/>
        </w:pBdr>
        <w:tabs>
          <w:tab w:val="clear" w:pos="9360"/>
        </w:tabs>
        <w:ind w:right="-279"/>
        <w:jc w:val="right"/>
        <w:rPr>
          <w:rFonts w:ascii="Times New Roman" w:hAnsi="Times New Roman" w:cs="Times New Roman"/>
          <w:b/>
          <w:color w:val="BFBFBF" w:themeColor="background1" w:themeShade="BF"/>
        </w:rPr>
      </w:pPr>
      <w:r>
        <w:rPr>
          <w:rFonts w:ascii="Times New Roman" w:hAnsi="Times New Roman" w:cs="Times New Roman"/>
          <w:b/>
          <w:color w:val="BFBFBF" w:themeColor="background1" w:themeShade="BF"/>
        </w:rPr>
        <w:t>Nacionalni</w:t>
      </w:r>
      <w:r w:rsidR="00B01ECD"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otvoreni postupak nabavke radova za izgradnju </w:t>
      </w:r>
      <w:r>
        <w:rPr>
          <w:rFonts w:ascii="Times New Roman" w:hAnsi="Times New Roman" w:cs="Times New Roman"/>
          <w:b/>
          <w:color w:val="BFBFBF" w:themeColor="background1" w:themeShade="BF"/>
        </w:rPr>
        <w:t>višeporodičnih stambenih objekata</w:t>
      </w:r>
    </w:p>
    <w:p w:rsidR="00B01ECD" w:rsidRDefault="000057F2" w:rsidP="00435424">
      <w:pPr>
        <w:keepNext/>
        <w:keepLines/>
        <w:spacing w:line="475" w:lineRule="exact"/>
        <w:ind w:right="-198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IZMENE I DOPUNE TENDERSKE DOKUMENTACIJE</w:t>
      </w:r>
    </w:p>
    <w:p w:rsidR="000057F2" w:rsidRPr="00332EE9" w:rsidRDefault="000057F2" w:rsidP="00435424">
      <w:pPr>
        <w:keepNext/>
        <w:keepLines/>
        <w:spacing w:line="475" w:lineRule="exact"/>
        <w:ind w:right="-198"/>
        <w:jc w:val="center"/>
        <w:outlineLvl w:val="0"/>
        <w:rPr>
          <w:b/>
          <w:bCs/>
          <w:sz w:val="28"/>
        </w:rPr>
      </w:pPr>
    </w:p>
    <w:p w:rsidR="00435424" w:rsidRPr="000057F2" w:rsidRDefault="009A24C9" w:rsidP="00435424">
      <w:pPr>
        <w:keepNext/>
        <w:keepLines/>
        <w:spacing w:line="475" w:lineRule="exact"/>
        <w:ind w:right="-198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IZMENA BR. 3</w:t>
      </w:r>
    </w:p>
    <w:p w:rsidR="000057F2" w:rsidRPr="00332EE9" w:rsidRDefault="000057F2" w:rsidP="00435424">
      <w:pPr>
        <w:keepNext/>
        <w:keepLines/>
        <w:spacing w:line="475" w:lineRule="exact"/>
        <w:ind w:right="-198"/>
        <w:jc w:val="center"/>
        <w:outlineLvl w:val="0"/>
        <w:rPr>
          <w:b/>
          <w:bCs/>
          <w:sz w:val="28"/>
        </w:rPr>
      </w:pPr>
    </w:p>
    <w:p w:rsidR="00435424" w:rsidRPr="00332EE9" w:rsidRDefault="00435424" w:rsidP="00435424">
      <w:pPr>
        <w:keepNext/>
        <w:keepLines/>
        <w:spacing w:line="475" w:lineRule="exact"/>
        <w:ind w:right="-198"/>
        <w:jc w:val="center"/>
        <w:outlineLvl w:val="0"/>
        <w:rPr>
          <w:b/>
          <w:bCs/>
          <w:sz w:val="28"/>
        </w:rPr>
      </w:pPr>
      <w:r w:rsidRPr="00332EE9">
        <w:rPr>
          <w:b/>
          <w:bCs/>
          <w:szCs w:val="22"/>
        </w:rPr>
        <w:t xml:space="preserve">Tenderske dokumentacije za nabavku </w:t>
      </w:r>
      <w:bookmarkStart w:id="0" w:name="bookmark1"/>
      <w:r w:rsidRPr="00332EE9">
        <w:rPr>
          <w:b/>
          <w:bCs/>
          <w:szCs w:val="22"/>
        </w:rPr>
        <w:t>radova</w:t>
      </w:r>
    </w:p>
    <w:p w:rsidR="00435424" w:rsidRPr="00332EE9" w:rsidRDefault="00435424" w:rsidP="00435424">
      <w:pPr>
        <w:keepNext/>
        <w:keepLines/>
        <w:spacing w:after="240" w:line="230" w:lineRule="exact"/>
        <w:ind w:right="-198"/>
        <w:jc w:val="center"/>
        <w:outlineLvl w:val="1"/>
        <w:rPr>
          <w:b/>
          <w:bCs/>
          <w:szCs w:val="22"/>
        </w:rPr>
      </w:pPr>
      <w:r w:rsidRPr="00332EE9">
        <w:rPr>
          <w:b/>
          <w:bCs/>
          <w:szCs w:val="22"/>
        </w:rPr>
        <w:t xml:space="preserve">Broj nabavke: </w:t>
      </w:r>
      <w:bookmarkEnd w:id="0"/>
      <w:r w:rsidR="000057F2">
        <w:rPr>
          <w:b/>
          <w:bCs/>
          <w:szCs w:val="22"/>
        </w:rPr>
        <w:t>RHP-W2-АB/NOP2-2016</w:t>
      </w:r>
    </w:p>
    <w:p w:rsidR="00435424" w:rsidRPr="00332EE9" w:rsidRDefault="00435424" w:rsidP="00435424">
      <w:pPr>
        <w:tabs>
          <w:tab w:val="left" w:pos="7096"/>
        </w:tabs>
        <w:jc w:val="center"/>
        <w:rPr>
          <w:b/>
        </w:rPr>
      </w:pPr>
    </w:p>
    <w:p w:rsidR="00435424" w:rsidRPr="00332EE9" w:rsidRDefault="00435424" w:rsidP="00435424">
      <w:pPr>
        <w:pStyle w:val="NoSpacing"/>
      </w:pPr>
      <w:r w:rsidRPr="00332EE9">
        <w:t>U tenderskoj dokumentaciji za nabavku radova napravljene su sledeće izmene:</w:t>
      </w:r>
    </w:p>
    <w:p w:rsidR="00435424" w:rsidRPr="00332EE9" w:rsidRDefault="00435424" w:rsidP="00435424">
      <w:pPr>
        <w:pStyle w:val="NoSpacing"/>
      </w:pPr>
    </w:p>
    <w:p w:rsidR="005E25CD" w:rsidRDefault="005E25CD" w:rsidP="005E25CD">
      <w:pPr>
        <w:rPr>
          <w:color w:val="auto"/>
        </w:rPr>
      </w:pPr>
      <w:r>
        <w:rPr>
          <w:color w:val="auto"/>
        </w:rPr>
        <w:t>Tenderska dokumentacija se dopunjuje u sledećem delu:</w:t>
      </w:r>
      <w:r w:rsidR="003D0276" w:rsidRPr="003D0276">
        <w:t xml:space="preserve"> </w:t>
      </w:r>
      <w:bookmarkStart w:id="1" w:name="_GoBack"/>
      <w:bookmarkEnd w:id="1"/>
    </w:p>
    <w:p w:rsidR="00DC3024" w:rsidRDefault="00DC3024" w:rsidP="00435424">
      <w:pPr>
        <w:pStyle w:val="En-tte220"/>
        <w:keepNext/>
        <w:keepLines/>
        <w:shd w:val="clear" w:color="auto" w:fill="auto"/>
        <w:spacing w:after="240" w:line="230" w:lineRule="exact"/>
        <w:ind w:right="-198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E25CD" w:rsidTr="005E25CD">
        <w:tc>
          <w:tcPr>
            <w:tcW w:w="10196" w:type="dxa"/>
          </w:tcPr>
          <w:p w:rsidR="005E25CD" w:rsidRDefault="005E25CD" w:rsidP="005E25CD">
            <w:pPr>
              <w:spacing w:before="60"/>
              <w:rPr>
                <w:lang w:val="sr-Latn-CS"/>
              </w:rPr>
            </w:pPr>
          </w:p>
          <w:p w:rsidR="005E25CD" w:rsidRDefault="005E25CD" w:rsidP="005E25CD">
            <w:pPr>
              <w:spacing w:before="60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 xml:space="preserve">SVESKA </w:t>
            </w:r>
            <w:r>
              <w:rPr>
                <w:b/>
                <w:lang w:val="sr-Latn-CS"/>
              </w:rPr>
              <w:t>4</w:t>
            </w:r>
          </w:p>
          <w:p w:rsidR="005E25CD" w:rsidRDefault="005E25CD" w:rsidP="005E25CD">
            <w:pPr>
              <w:spacing w:before="60"/>
              <w:rPr>
                <w:lang w:val="sr-Cyrl-RS"/>
              </w:rPr>
            </w:pPr>
            <w:r>
              <w:rPr>
                <w:lang w:val="sr-Cyrl-RS"/>
              </w:rPr>
              <w:t>PROJEKTNO TEHNIČKA DOKUMENTACIJA</w:t>
            </w:r>
          </w:p>
          <w:p w:rsidR="006E4B49" w:rsidRDefault="006E4B49" w:rsidP="006E4B49">
            <w:pPr>
              <w:rPr>
                <w:color w:val="auto"/>
              </w:rPr>
            </w:pPr>
            <w:r w:rsidRPr="003D0276">
              <w:rPr>
                <w:color w:val="auto"/>
              </w:rPr>
              <w:t>Dopuna projekta za izvođenje - Sremska Mitrovica - Arhitektura</w:t>
            </w:r>
          </w:p>
          <w:p w:rsidR="006E4B49" w:rsidRPr="003D0276" w:rsidRDefault="006E4B49" w:rsidP="005E25CD">
            <w:pPr>
              <w:spacing w:before="60"/>
              <w:rPr>
                <w:lang w:val="sr-Cyrl-RS"/>
              </w:rPr>
            </w:pPr>
          </w:p>
          <w:p w:rsidR="005E25CD" w:rsidRDefault="005E25CD" w:rsidP="005E25CD">
            <w:pPr>
              <w:spacing w:before="60"/>
              <w:rPr>
                <w:lang w:val="sr-Latn-CS"/>
              </w:rPr>
            </w:pPr>
            <w:r>
              <w:rPr>
                <w:lang w:val="sr-Latn-CS"/>
              </w:rPr>
              <w:t>Mogu se preuzeti na sledećem linku:</w:t>
            </w:r>
          </w:p>
          <w:p w:rsidR="005E25CD" w:rsidRDefault="009B373B" w:rsidP="009A24C9">
            <w:pPr>
              <w:spacing w:before="60"/>
            </w:pPr>
            <w:hyperlink r:id="rId9" w:history="1">
              <w:r w:rsidR="003F49DC" w:rsidRPr="00AE4183">
                <w:rPr>
                  <w:rStyle w:val="Hyperlink"/>
                </w:rPr>
                <w:t>http://piu.rs/download/122_15-7-PZI-1-Sremska%20Mitrovica-Arhitektura.pdf</w:t>
              </w:r>
            </w:hyperlink>
          </w:p>
          <w:p w:rsidR="003F49DC" w:rsidRDefault="003F49DC" w:rsidP="009A24C9">
            <w:pPr>
              <w:spacing w:before="60"/>
            </w:pPr>
          </w:p>
        </w:tc>
      </w:tr>
    </w:tbl>
    <w:p w:rsidR="005E25CD" w:rsidRDefault="005E25CD" w:rsidP="005E25CD"/>
    <w:p w:rsidR="00DC3024" w:rsidRDefault="00DC3024" w:rsidP="00435424">
      <w:pPr>
        <w:pStyle w:val="En-tte220"/>
        <w:keepNext/>
        <w:keepLines/>
        <w:shd w:val="clear" w:color="auto" w:fill="auto"/>
        <w:spacing w:after="240" w:line="230" w:lineRule="exact"/>
        <w:ind w:right="-198"/>
        <w:rPr>
          <w:rFonts w:ascii="Times New Roman" w:hAnsi="Times New Roman" w:cs="Times New Roman"/>
          <w:sz w:val="24"/>
          <w:szCs w:val="24"/>
          <w:lang w:val="en-GB"/>
        </w:rPr>
      </w:pPr>
    </w:p>
    <w:p w:rsidR="00435424" w:rsidRPr="00332EE9" w:rsidRDefault="00B864EA" w:rsidP="00435424">
      <w:pPr>
        <w:pStyle w:val="En-tte220"/>
        <w:keepNext/>
        <w:keepLines/>
        <w:shd w:val="clear" w:color="auto" w:fill="auto"/>
        <w:spacing w:after="240" w:line="230" w:lineRule="exact"/>
        <w:ind w:right="-19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Izmene su date u gore</w:t>
      </w:r>
      <w:r w:rsidR="00435424" w:rsidRPr="00332EE9">
        <w:rPr>
          <w:rFonts w:ascii="Times New Roman" w:hAnsi="Times New Roman" w:cs="Times New Roman"/>
          <w:sz w:val="24"/>
          <w:szCs w:val="24"/>
          <w:lang w:val="en-GB"/>
        </w:rPr>
        <w:t>navedenoj tabeli.</w:t>
      </w:r>
    </w:p>
    <w:p w:rsidR="00435424" w:rsidRPr="001A1ED6" w:rsidRDefault="00435424" w:rsidP="00435424">
      <w:pPr>
        <w:pStyle w:val="En-tte220"/>
        <w:keepNext/>
        <w:keepLines/>
        <w:shd w:val="clear" w:color="auto" w:fill="auto"/>
        <w:spacing w:after="240" w:line="230" w:lineRule="exact"/>
        <w:ind w:right="-19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1ED6">
        <w:rPr>
          <w:rFonts w:ascii="Times New Roman" w:hAnsi="Times New Roman" w:cs="Times New Roman"/>
          <w:b/>
          <w:sz w:val="24"/>
          <w:szCs w:val="24"/>
          <w:lang w:val="en-GB"/>
        </w:rPr>
        <w:t>Svi ostali uslovi navedeni u tenderskoj dokumentaciji ostaju nepromenjeni.</w:t>
      </w:r>
    </w:p>
    <w:p w:rsidR="00435424" w:rsidRPr="001A1ED6" w:rsidRDefault="00B864EA" w:rsidP="00435424">
      <w:pPr>
        <w:pStyle w:val="En-tte10"/>
        <w:keepNext/>
        <w:keepLines/>
        <w:shd w:val="clear" w:color="auto" w:fill="auto"/>
        <w:spacing w:before="0" w:line="23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A1ED6">
        <w:rPr>
          <w:rFonts w:ascii="Times New Roman" w:hAnsi="Times New Roman" w:cs="Times New Roman"/>
          <w:b/>
          <w:sz w:val="24"/>
          <w:szCs w:val="24"/>
        </w:rPr>
        <w:t>Gore</w:t>
      </w:r>
      <w:r w:rsidR="00435424" w:rsidRPr="001A1ED6">
        <w:rPr>
          <w:rFonts w:ascii="Times New Roman" w:hAnsi="Times New Roman" w:cs="Times New Roman"/>
          <w:b/>
          <w:sz w:val="24"/>
          <w:szCs w:val="24"/>
        </w:rPr>
        <w:t>navedene izmene su sastavni deo tenderske dokumentacije.</w:t>
      </w:r>
    </w:p>
    <w:p w:rsidR="00435424" w:rsidRPr="00332EE9" w:rsidRDefault="00435424" w:rsidP="00435424">
      <w:pPr>
        <w:pStyle w:val="En-tte10"/>
        <w:keepNext/>
        <w:keepLines/>
        <w:shd w:val="clear" w:color="auto" w:fill="auto"/>
        <w:spacing w:before="0"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435424" w:rsidRPr="00332EE9" w:rsidRDefault="00435424" w:rsidP="00435424">
      <w:pPr>
        <w:pStyle w:val="En-tte10"/>
        <w:keepNext/>
        <w:keepLines/>
        <w:shd w:val="clear" w:color="auto" w:fill="auto"/>
        <w:spacing w:before="0"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435424" w:rsidRPr="00332EE9" w:rsidRDefault="00435424" w:rsidP="00927E97">
      <w:pPr>
        <w:tabs>
          <w:tab w:val="left" w:pos="978"/>
        </w:tabs>
        <w:jc w:val="right"/>
        <w:rPr>
          <w:lang w:val="sr-Latn-CS"/>
        </w:rPr>
      </w:pPr>
      <w:r w:rsidRPr="00332EE9">
        <w:rPr>
          <w:lang w:val="sr-Latn-CS"/>
        </w:rPr>
        <w:t>Komisija za nabavku</w:t>
      </w:r>
    </w:p>
    <w:p w:rsidR="004B35D2" w:rsidRPr="00332EE9" w:rsidRDefault="004B35D2" w:rsidP="00A5119A">
      <w:pPr>
        <w:tabs>
          <w:tab w:val="left" w:pos="7590"/>
        </w:tabs>
        <w:rPr>
          <w:lang w:val="sr-Latn-CS"/>
        </w:rPr>
      </w:pPr>
    </w:p>
    <w:p w:rsidR="00124FEE" w:rsidRPr="00332EE9" w:rsidRDefault="00124FEE" w:rsidP="000057F2">
      <w:pPr>
        <w:widowControl/>
        <w:spacing w:after="200" w:line="276" w:lineRule="auto"/>
        <w:rPr>
          <w:lang w:val="sr-Latn-CS"/>
        </w:rPr>
      </w:pPr>
    </w:p>
    <w:sectPr w:rsidR="00124FEE" w:rsidRPr="00332EE9" w:rsidSect="000057F2">
      <w:headerReference w:type="default" r:id="rId10"/>
      <w:pgSz w:w="12240" w:h="15840"/>
      <w:pgMar w:top="1440" w:right="1041" w:bottom="1440" w:left="993" w:header="567" w:footer="2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3B" w:rsidRDefault="009B373B" w:rsidP="00C66722">
      <w:r>
        <w:separator/>
      </w:r>
    </w:p>
  </w:endnote>
  <w:endnote w:type="continuationSeparator" w:id="0">
    <w:p w:rsidR="009B373B" w:rsidRDefault="009B373B" w:rsidP="00C6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3B" w:rsidRDefault="009B373B" w:rsidP="00C66722">
      <w:r>
        <w:separator/>
      </w:r>
    </w:p>
  </w:footnote>
  <w:footnote w:type="continuationSeparator" w:id="0">
    <w:p w:rsidR="009B373B" w:rsidRDefault="009B373B" w:rsidP="00C6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4" w:rsidRDefault="00DC3024">
    <w:pPr>
      <w:pStyle w:val="Header"/>
    </w:pPr>
  </w:p>
  <w:p w:rsidR="00DC3024" w:rsidRDefault="00DC3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439F"/>
    <w:multiLevelType w:val="hybridMultilevel"/>
    <w:tmpl w:val="C18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67E6"/>
    <w:multiLevelType w:val="hybridMultilevel"/>
    <w:tmpl w:val="12B87328"/>
    <w:lvl w:ilvl="0" w:tplc="9D66D8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2BA0"/>
    <w:multiLevelType w:val="hybridMultilevel"/>
    <w:tmpl w:val="3658163E"/>
    <w:lvl w:ilvl="0" w:tplc="8CBCA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7364"/>
    <w:multiLevelType w:val="hybridMultilevel"/>
    <w:tmpl w:val="1EE0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14F"/>
    <w:multiLevelType w:val="hybridMultilevel"/>
    <w:tmpl w:val="DA06B3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84457"/>
    <w:multiLevelType w:val="hybridMultilevel"/>
    <w:tmpl w:val="DCA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03460"/>
    <w:multiLevelType w:val="hybridMultilevel"/>
    <w:tmpl w:val="412ECCBE"/>
    <w:lvl w:ilvl="0" w:tplc="8CBCA9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MzMysbQwNTAzMjJW0lEKTi0uzszPAykwNKoFAFacxk0tAAAA"/>
  </w:docVars>
  <w:rsids>
    <w:rsidRoot w:val="00C66722"/>
    <w:rsid w:val="000057F2"/>
    <w:rsid w:val="00010E58"/>
    <w:rsid w:val="000472ED"/>
    <w:rsid w:val="00073277"/>
    <w:rsid w:val="00081D04"/>
    <w:rsid w:val="00092B84"/>
    <w:rsid w:val="000B172E"/>
    <w:rsid w:val="000D5373"/>
    <w:rsid w:val="00105715"/>
    <w:rsid w:val="00116805"/>
    <w:rsid w:val="001172EF"/>
    <w:rsid w:val="00124FEE"/>
    <w:rsid w:val="00134C04"/>
    <w:rsid w:val="00137979"/>
    <w:rsid w:val="0016535B"/>
    <w:rsid w:val="00166C6E"/>
    <w:rsid w:val="0018724C"/>
    <w:rsid w:val="001A1ED6"/>
    <w:rsid w:val="001B357A"/>
    <w:rsid w:val="001B6C27"/>
    <w:rsid w:val="001F0E00"/>
    <w:rsid w:val="001F7B8D"/>
    <w:rsid w:val="00264862"/>
    <w:rsid w:val="002C2510"/>
    <w:rsid w:val="00314DA6"/>
    <w:rsid w:val="00332EE9"/>
    <w:rsid w:val="003D0276"/>
    <w:rsid w:val="003F334E"/>
    <w:rsid w:val="003F49DC"/>
    <w:rsid w:val="00427657"/>
    <w:rsid w:val="00435424"/>
    <w:rsid w:val="00437399"/>
    <w:rsid w:val="00494E5D"/>
    <w:rsid w:val="004B35D2"/>
    <w:rsid w:val="004C6641"/>
    <w:rsid w:val="004C7C54"/>
    <w:rsid w:val="004F33C0"/>
    <w:rsid w:val="00503589"/>
    <w:rsid w:val="00544756"/>
    <w:rsid w:val="005E25CD"/>
    <w:rsid w:val="005E2732"/>
    <w:rsid w:val="00617BC5"/>
    <w:rsid w:val="00637AB8"/>
    <w:rsid w:val="00665A8C"/>
    <w:rsid w:val="006E4B49"/>
    <w:rsid w:val="00702A0F"/>
    <w:rsid w:val="007104EE"/>
    <w:rsid w:val="0073139B"/>
    <w:rsid w:val="00742DFA"/>
    <w:rsid w:val="00743367"/>
    <w:rsid w:val="00761187"/>
    <w:rsid w:val="00796667"/>
    <w:rsid w:val="007B7FC2"/>
    <w:rsid w:val="007F4317"/>
    <w:rsid w:val="0081164D"/>
    <w:rsid w:val="008172EB"/>
    <w:rsid w:val="00831F15"/>
    <w:rsid w:val="0087665D"/>
    <w:rsid w:val="008A3F3A"/>
    <w:rsid w:val="00927E97"/>
    <w:rsid w:val="009762D9"/>
    <w:rsid w:val="009825A5"/>
    <w:rsid w:val="009A24C9"/>
    <w:rsid w:val="009B1FDA"/>
    <w:rsid w:val="009B26A1"/>
    <w:rsid w:val="009B373B"/>
    <w:rsid w:val="009E0E96"/>
    <w:rsid w:val="00A5119A"/>
    <w:rsid w:val="00A97043"/>
    <w:rsid w:val="00AA3DDD"/>
    <w:rsid w:val="00AC29E2"/>
    <w:rsid w:val="00AC635F"/>
    <w:rsid w:val="00AE4E84"/>
    <w:rsid w:val="00AF6A2B"/>
    <w:rsid w:val="00B01ECD"/>
    <w:rsid w:val="00B219AF"/>
    <w:rsid w:val="00B41126"/>
    <w:rsid w:val="00B73C10"/>
    <w:rsid w:val="00B7562D"/>
    <w:rsid w:val="00B864EA"/>
    <w:rsid w:val="00BF20AC"/>
    <w:rsid w:val="00C2386D"/>
    <w:rsid w:val="00C66722"/>
    <w:rsid w:val="00C706E5"/>
    <w:rsid w:val="00C77A5A"/>
    <w:rsid w:val="00CA0552"/>
    <w:rsid w:val="00CA61A4"/>
    <w:rsid w:val="00CC315F"/>
    <w:rsid w:val="00D5237B"/>
    <w:rsid w:val="00DA204F"/>
    <w:rsid w:val="00DC0C1B"/>
    <w:rsid w:val="00DC3024"/>
    <w:rsid w:val="00DD248D"/>
    <w:rsid w:val="00DD37AF"/>
    <w:rsid w:val="00E03624"/>
    <w:rsid w:val="00E230D5"/>
    <w:rsid w:val="00E416E9"/>
    <w:rsid w:val="00E6778F"/>
    <w:rsid w:val="00E94215"/>
    <w:rsid w:val="00EE5E4D"/>
    <w:rsid w:val="00F001BE"/>
    <w:rsid w:val="00F36037"/>
    <w:rsid w:val="00F516E0"/>
    <w:rsid w:val="00FA1764"/>
    <w:rsid w:val="00FE0E19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813A9-FB35-4598-8DF4-421F3577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54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72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A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6722"/>
  </w:style>
  <w:style w:type="paragraph" w:styleId="Footer">
    <w:name w:val="footer"/>
    <w:basedOn w:val="Normal"/>
    <w:link w:val="Foot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6722"/>
  </w:style>
  <w:style w:type="character" w:customStyle="1" w:styleId="Heading1Char">
    <w:name w:val="Heading 1 Char"/>
    <w:basedOn w:val="DefaultParagraphFont"/>
    <w:link w:val="Heading1"/>
    <w:uiPriority w:val="9"/>
    <w:rsid w:val="00C6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22"/>
    <w:pPr>
      <w:widowControl/>
    </w:pPr>
    <w:rPr>
      <w:rFonts w:ascii="Tahoma" w:eastAsiaTheme="minorHAns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22"/>
    <w:rPr>
      <w:rFonts w:ascii="Tahoma" w:hAnsi="Tahoma" w:cs="Tahoma"/>
      <w:sz w:val="16"/>
      <w:szCs w:val="16"/>
    </w:rPr>
  </w:style>
  <w:style w:type="character" w:customStyle="1" w:styleId="En-tte1">
    <w:name w:val="En-tête #1_"/>
    <w:link w:val="En-tte10"/>
    <w:rsid w:val="00435424"/>
    <w:rPr>
      <w:sz w:val="23"/>
      <w:szCs w:val="23"/>
      <w:shd w:val="clear" w:color="auto" w:fill="FFFFFF"/>
    </w:rPr>
  </w:style>
  <w:style w:type="character" w:customStyle="1" w:styleId="En-tte22">
    <w:name w:val="En-tête #2 (2)_"/>
    <w:link w:val="En-tte220"/>
    <w:rsid w:val="00435424"/>
    <w:rPr>
      <w:shd w:val="clear" w:color="auto" w:fill="FFFFFF"/>
      <w:lang w:val="cs"/>
    </w:rPr>
  </w:style>
  <w:style w:type="paragraph" w:customStyle="1" w:styleId="En-tte10">
    <w:name w:val="En-tête #1"/>
    <w:basedOn w:val="Normal"/>
    <w:link w:val="En-tte1"/>
    <w:rsid w:val="00435424"/>
    <w:pPr>
      <w:shd w:val="clear" w:color="auto" w:fill="FFFFFF"/>
      <w:spacing w:before="360" w:line="475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3"/>
      <w:szCs w:val="23"/>
      <w:lang w:val="en-US" w:eastAsia="en-US"/>
    </w:rPr>
  </w:style>
  <w:style w:type="paragraph" w:customStyle="1" w:styleId="En-tte220">
    <w:name w:val="En-tête #2 (2)"/>
    <w:basedOn w:val="Normal"/>
    <w:link w:val="En-tte22"/>
    <w:rsid w:val="00435424"/>
    <w:pPr>
      <w:shd w:val="clear" w:color="auto" w:fill="FFFFFF"/>
      <w:spacing w:after="720" w:line="0" w:lineRule="atLeast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val="cs" w:eastAsia="en-US"/>
    </w:rPr>
  </w:style>
  <w:style w:type="paragraph" w:styleId="NoSpacing">
    <w:name w:val="No Spacing"/>
    <w:uiPriority w:val="1"/>
    <w:qFormat/>
    <w:rsid w:val="004354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A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paragraph" w:customStyle="1" w:styleId="text">
    <w:name w:val="text"/>
    <w:rsid w:val="007B7FC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GB"/>
    </w:rPr>
  </w:style>
  <w:style w:type="paragraph" w:customStyle="1" w:styleId="text-3mezera">
    <w:name w:val="text - 3 mezera"/>
    <w:basedOn w:val="Normal"/>
    <w:rsid w:val="007B7FC2"/>
    <w:pPr>
      <w:spacing w:before="60" w:after="120" w:line="240" w:lineRule="exact"/>
      <w:ind w:left="567"/>
      <w:jc w:val="both"/>
    </w:pPr>
    <w:rPr>
      <w:rFonts w:ascii="Arial" w:hAnsi="Arial"/>
      <w:snapToGrid w:val="0"/>
      <w:color w:val="auto"/>
      <w:sz w:val="22"/>
      <w:szCs w:val="20"/>
      <w:lang w:val="cs-CZ"/>
    </w:rPr>
  </w:style>
  <w:style w:type="paragraph" w:customStyle="1" w:styleId="tabulka">
    <w:name w:val="tabulka"/>
    <w:basedOn w:val="text-3mezera"/>
    <w:rsid w:val="007B7FC2"/>
    <w:pPr>
      <w:spacing w:before="120"/>
      <w:jc w:val="center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379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7AF"/>
    <w:pPr>
      <w:ind w:left="720"/>
      <w:contextualSpacing/>
    </w:pPr>
  </w:style>
  <w:style w:type="table" w:styleId="TableGrid">
    <w:name w:val="Table Grid"/>
    <w:basedOn w:val="TableNormal"/>
    <w:rsid w:val="00DD37A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B01ECD"/>
    <w:pPr>
      <w:spacing w:before="100" w:after="100"/>
      <w:ind w:left="360" w:right="360"/>
      <w:jc w:val="both"/>
    </w:pPr>
    <w:rPr>
      <w:snapToGrid w:val="0"/>
      <w:color w:val="auto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2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iu.rs/download/122_15-7-PZI-1-Sremska%20Mitrovica-Arhitektur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5F14-B87B-492D-BCC8-D2BEE36D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Regionalni program stambenog zbrinjavanja</vt:lpstr>
      <vt:lpstr>IZMENE I DOPUNE TENDERSKE DOKUMENTACIJE</vt:lpstr>
      <vt:lpstr/>
      <vt:lpstr>IZMENA BR. 2</vt:lpstr>
      <vt:lpstr/>
      <vt:lpstr>Tenderske dokumentacije za nabavku radova</vt:lpstr>
      <vt:lpstr>    Broj nabavke: RHP-W2-АB/NOP2-2016</vt:lpstr>
      <vt:lpstr>    </vt:lpstr>
      <vt:lpstr>    </vt:lpstr>
      <vt:lpstr>    </vt:lpstr>
      <vt:lpstr>    Izmene su date u gorenavedenoj tabeli.</vt:lpstr>
      <vt:lpstr>    Svi ostali uslovi navedeni u tenderskoj dokumentaciji ostaju nepromenjeni.</vt:lpstr>
      <vt:lpstr>Gorenavedene izmene su sastavni deo tenderske dokumentacije.</vt:lpstr>
      <vt:lpstr/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Regionalni program stambenog zbrinjavanja</dc:title>
  <dc:creator>Jelena Marušić</dc:creator>
  <cp:lastModifiedBy>Tanja Babić</cp:lastModifiedBy>
  <cp:revision>7</cp:revision>
  <cp:lastPrinted>2016-08-09T13:23:00Z</cp:lastPrinted>
  <dcterms:created xsi:type="dcterms:W3CDTF">2016-08-15T07:51:00Z</dcterms:created>
  <dcterms:modified xsi:type="dcterms:W3CDTF">2016-08-19T11:51:00Z</dcterms:modified>
</cp:coreProperties>
</file>