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0" w:type="dxa"/>
          <w:right w:w="10" w:type="dxa"/>
        </w:tblCellMar>
        <w:tblLook w:val="0000" w:firstRow="0" w:lastRow="0" w:firstColumn="0" w:lastColumn="0" w:noHBand="0" w:noVBand="0"/>
      </w:tblPr>
      <w:tblGrid>
        <w:gridCol w:w="579"/>
        <w:gridCol w:w="3400"/>
        <w:gridCol w:w="29"/>
        <w:gridCol w:w="5585"/>
        <w:gridCol w:w="29"/>
      </w:tblGrid>
      <w:tr w:rsidR="00421C6D" w:rsidRPr="0049024C" w:rsidTr="00445788">
        <w:tc>
          <w:tcPr>
            <w:tcW w:w="301" w:type="pct"/>
            <w:shd w:val="clear" w:color="auto" w:fill="FFFFFF"/>
            <w:tcMar>
              <w:top w:w="0" w:type="dxa"/>
              <w:left w:w="108" w:type="dxa"/>
              <w:bottom w:w="0" w:type="dxa"/>
              <w:right w:w="108" w:type="dxa"/>
            </w:tcMar>
          </w:tcPr>
          <w:p w:rsidR="00421C6D" w:rsidRPr="0049024C" w:rsidRDefault="00421C6D" w:rsidP="00193015">
            <w:pPr>
              <w:tabs>
                <w:tab w:val="left" w:pos="846"/>
                <w:tab w:val="left" w:pos="1002"/>
                <w:tab w:val="left" w:pos="1284"/>
              </w:tabs>
              <w:spacing w:before="120" w:after="120" w:line="240" w:lineRule="auto"/>
              <w:ind w:left="282" w:right="12" w:hanging="225"/>
              <w:jc w:val="center"/>
              <w:rPr>
                <w:rFonts w:ascii="Times New Roman" w:hAnsi="Times New Roman" w:cs="Times New Roman"/>
                <w:sz w:val="24"/>
                <w:szCs w:val="24"/>
              </w:rPr>
            </w:pPr>
          </w:p>
        </w:tc>
        <w:tc>
          <w:tcPr>
            <w:tcW w:w="4699" w:type="pct"/>
            <w:gridSpan w:val="4"/>
            <w:shd w:val="clear" w:color="auto" w:fill="FFFFFF"/>
            <w:tcMar>
              <w:top w:w="0" w:type="dxa"/>
              <w:left w:w="108" w:type="dxa"/>
              <w:bottom w:w="0" w:type="dxa"/>
              <w:right w:w="108" w:type="dxa"/>
            </w:tcMar>
          </w:tcPr>
          <w:p w:rsidR="00421C6D" w:rsidRPr="0049024C" w:rsidRDefault="00BF4E89" w:rsidP="00193015">
            <w:pPr>
              <w:spacing w:before="120" w:after="120" w:line="240" w:lineRule="auto"/>
              <w:jc w:val="center"/>
              <w:rPr>
                <w:rFonts w:ascii="Times New Roman" w:hAnsi="Times New Roman" w:cs="Times New Roman"/>
                <w:b/>
                <w:sz w:val="24"/>
                <w:szCs w:val="24"/>
              </w:rPr>
            </w:pPr>
            <w:r w:rsidRPr="0049024C">
              <w:rPr>
                <w:rFonts w:ascii="Times New Roman" w:hAnsi="Times New Roman" w:cs="Times New Roman"/>
                <w:b/>
                <w:sz w:val="24"/>
                <w:szCs w:val="24"/>
              </w:rPr>
              <w:t xml:space="preserve">Procurement of Works on the Construction of </w:t>
            </w:r>
            <w:r w:rsidR="003B2BF8">
              <w:rPr>
                <w:rFonts w:ascii="Times New Roman" w:hAnsi="Times New Roman" w:cs="Times New Roman"/>
                <w:b/>
                <w:sz w:val="24"/>
                <w:szCs w:val="24"/>
              </w:rPr>
              <w:t>Multi-a</w:t>
            </w:r>
            <w:r w:rsidR="00D56580" w:rsidRPr="0049024C">
              <w:rPr>
                <w:rFonts w:ascii="Times New Roman" w:hAnsi="Times New Roman" w:cs="Times New Roman"/>
                <w:b/>
                <w:sz w:val="24"/>
                <w:szCs w:val="24"/>
              </w:rPr>
              <w:t>partment</w:t>
            </w:r>
            <w:r w:rsidRPr="0049024C">
              <w:rPr>
                <w:rFonts w:ascii="Times New Roman" w:hAnsi="Times New Roman" w:cs="Times New Roman"/>
                <w:b/>
                <w:sz w:val="24"/>
                <w:szCs w:val="24"/>
              </w:rPr>
              <w:t xml:space="preserve"> Buildings </w:t>
            </w:r>
          </w:p>
        </w:tc>
      </w:tr>
      <w:tr w:rsidR="002D6E25" w:rsidRPr="0049024C" w:rsidTr="00445788">
        <w:tc>
          <w:tcPr>
            <w:tcW w:w="301" w:type="pct"/>
            <w:shd w:val="clear" w:color="auto" w:fill="FFFFFF"/>
            <w:tcMar>
              <w:top w:w="0" w:type="dxa"/>
              <w:left w:w="108" w:type="dxa"/>
              <w:bottom w:w="0" w:type="dxa"/>
              <w:right w:w="108" w:type="dxa"/>
            </w:tcMar>
          </w:tcPr>
          <w:p w:rsidR="002D6E25" w:rsidRPr="0049024C" w:rsidRDefault="002D6E25" w:rsidP="00193015">
            <w:pPr>
              <w:tabs>
                <w:tab w:val="left" w:pos="846"/>
                <w:tab w:val="left" w:pos="1002"/>
                <w:tab w:val="left" w:pos="1284"/>
              </w:tabs>
              <w:spacing w:before="120" w:after="120" w:line="240" w:lineRule="auto"/>
              <w:ind w:left="282" w:right="12" w:hanging="225"/>
              <w:jc w:val="center"/>
              <w:rPr>
                <w:rFonts w:ascii="Times New Roman" w:hAnsi="Times New Roman" w:cs="Times New Roman"/>
                <w:sz w:val="24"/>
                <w:szCs w:val="24"/>
              </w:rPr>
            </w:pPr>
          </w:p>
        </w:tc>
        <w:tc>
          <w:tcPr>
            <w:tcW w:w="4699" w:type="pct"/>
            <w:gridSpan w:val="4"/>
            <w:shd w:val="clear" w:color="auto" w:fill="FFFFFF"/>
            <w:tcMar>
              <w:top w:w="0" w:type="dxa"/>
              <w:left w:w="108" w:type="dxa"/>
              <w:bottom w:w="0" w:type="dxa"/>
              <w:right w:w="108" w:type="dxa"/>
            </w:tcMar>
          </w:tcPr>
          <w:p w:rsidR="002D6E25" w:rsidRPr="0049024C" w:rsidRDefault="00773AC3" w:rsidP="00193015">
            <w:pPr>
              <w:spacing w:before="120" w:after="120" w:line="240" w:lineRule="auto"/>
              <w:jc w:val="center"/>
              <w:rPr>
                <w:rFonts w:ascii="Times New Roman" w:hAnsi="Times New Roman" w:cs="Times New Roman"/>
                <w:sz w:val="24"/>
                <w:szCs w:val="24"/>
              </w:rPr>
            </w:pPr>
            <w:r w:rsidRPr="0049024C">
              <w:rPr>
                <w:rFonts w:ascii="Times New Roman" w:hAnsi="Times New Roman" w:cs="Times New Roman"/>
                <w:b/>
                <w:sz w:val="24"/>
                <w:szCs w:val="24"/>
              </w:rPr>
              <w:t xml:space="preserve">PROCUREMENT NOTICE – INTERNATIONAL OPEN PROCEDURE </w:t>
            </w:r>
          </w:p>
        </w:tc>
      </w:tr>
      <w:tr w:rsidR="002D6E25" w:rsidRPr="00034785" w:rsidTr="00445788">
        <w:trPr>
          <w:trHeight w:val="232"/>
        </w:trPr>
        <w:tc>
          <w:tcPr>
            <w:tcW w:w="301" w:type="pct"/>
            <w:shd w:val="clear" w:color="auto" w:fill="FFFFFF"/>
            <w:tcMar>
              <w:top w:w="0" w:type="dxa"/>
              <w:left w:w="108" w:type="dxa"/>
              <w:bottom w:w="0" w:type="dxa"/>
              <w:right w:w="108" w:type="dxa"/>
            </w:tcMar>
          </w:tcPr>
          <w:p w:rsidR="002D6E25" w:rsidRPr="00034785" w:rsidRDefault="002D6E25" w:rsidP="00034785">
            <w:pPr>
              <w:tabs>
                <w:tab w:val="left" w:pos="846"/>
                <w:tab w:val="left" w:pos="1002"/>
                <w:tab w:val="left" w:pos="1284"/>
              </w:tabs>
              <w:spacing w:after="0" w:line="240" w:lineRule="auto"/>
              <w:ind w:left="282" w:right="12" w:hanging="225"/>
              <w:rPr>
                <w:rFonts w:ascii="Times New Roman" w:hAnsi="Times New Roman" w:cs="Times New Roman"/>
                <w:sz w:val="16"/>
                <w:szCs w:val="16"/>
              </w:rPr>
            </w:pPr>
          </w:p>
        </w:tc>
        <w:tc>
          <w:tcPr>
            <w:tcW w:w="4699" w:type="pct"/>
            <w:gridSpan w:val="4"/>
            <w:shd w:val="clear" w:color="auto" w:fill="FFFFFF"/>
            <w:tcMar>
              <w:top w:w="0" w:type="dxa"/>
              <w:left w:w="108" w:type="dxa"/>
              <w:bottom w:w="0" w:type="dxa"/>
              <w:right w:w="108" w:type="dxa"/>
            </w:tcMar>
          </w:tcPr>
          <w:p w:rsidR="002D6E25" w:rsidRPr="00034785" w:rsidRDefault="002D6E25" w:rsidP="00034785">
            <w:pPr>
              <w:spacing w:after="0" w:line="240" w:lineRule="auto"/>
              <w:rPr>
                <w:rFonts w:ascii="Times New Roman" w:hAnsi="Times New Roman" w:cs="Times New Roman"/>
                <w:sz w:val="16"/>
                <w:szCs w:val="16"/>
              </w:rPr>
            </w:pPr>
          </w:p>
        </w:tc>
      </w:tr>
      <w:tr w:rsidR="00773AC3" w:rsidRPr="0049024C" w:rsidTr="00445788">
        <w:trPr>
          <w:trHeight w:val="430"/>
        </w:trPr>
        <w:tc>
          <w:tcPr>
            <w:tcW w:w="301" w:type="pct"/>
            <w:shd w:val="clear" w:color="auto" w:fill="FFFFFF"/>
            <w:tcMar>
              <w:top w:w="0" w:type="dxa"/>
              <w:left w:w="108" w:type="dxa"/>
              <w:bottom w:w="0" w:type="dxa"/>
              <w:right w:w="108" w:type="dxa"/>
            </w:tcMar>
          </w:tcPr>
          <w:p w:rsidR="00773AC3" w:rsidRPr="0049024C" w:rsidRDefault="00773AC3"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773AC3" w:rsidRPr="0049024C" w:rsidRDefault="00773AC3"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Publication reference:</w:t>
            </w:r>
          </w:p>
        </w:tc>
        <w:tc>
          <w:tcPr>
            <w:tcW w:w="2917" w:type="pct"/>
            <w:gridSpan w:val="2"/>
            <w:shd w:val="clear" w:color="auto" w:fill="C6D9F1"/>
            <w:tcMar>
              <w:top w:w="0" w:type="dxa"/>
              <w:left w:w="108" w:type="dxa"/>
              <w:bottom w:w="0" w:type="dxa"/>
              <w:right w:w="108" w:type="dxa"/>
            </w:tcMar>
          </w:tcPr>
          <w:p w:rsidR="00773AC3" w:rsidRPr="0049024C" w:rsidRDefault="00773AC3"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RHP-W4-АB/IOP1-2016</w:t>
            </w:r>
          </w:p>
        </w:tc>
      </w:tr>
      <w:tr w:rsidR="00773AC3" w:rsidRPr="00034785" w:rsidTr="00445788">
        <w:trPr>
          <w:trHeight w:val="280"/>
        </w:trPr>
        <w:tc>
          <w:tcPr>
            <w:tcW w:w="301" w:type="pct"/>
            <w:shd w:val="clear" w:color="auto" w:fill="FFFFFF"/>
            <w:tcMar>
              <w:top w:w="0" w:type="dxa"/>
              <w:left w:w="108" w:type="dxa"/>
              <w:bottom w:w="0" w:type="dxa"/>
              <w:right w:w="108" w:type="dxa"/>
            </w:tcMar>
          </w:tcPr>
          <w:p w:rsidR="00773AC3" w:rsidRPr="00034785" w:rsidRDefault="00773AC3" w:rsidP="00034785">
            <w:pPr>
              <w:pStyle w:val="ListParagraph"/>
              <w:tabs>
                <w:tab w:val="left" w:pos="846"/>
                <w:tab w:val="left" w:pos="1002"/>
                <w:tab w:val="left" w:pos="1284"/>
              </w:tabs>
              <w:spacing w:after="0" w:line="240" w:lineRule="auto"/>
              <w:ind w:left="282" w:right="12" w:hanging="225"/>
              <w:rPr>
                <w:rFonts w:ascii="Times New Roman" w:hAnsi="Times New Roman" w:cs="Times New Roman"/>
                <w:sz w:val="16"/>
                <w:szCs w:val="16"/>
              </w:rPr>
            </w:pPr>
          </w:p>
        </w:tc>
        <w:tc>
          <w:tcPr>
            <w:tcW w:w="4699" w:type="pct"/>
            <w:gridSpan w:val="4"/>
            <w:shd w:val="clear" w:color="auto" w:fill="FFFFFF"/>
            <w:tcMar>
              <w:top w:w="0" w:type="dxa"/>
              <w:left w:w="108" w:type="dxa"/>
              <w:bottom w:w="0" w:type="dxa"/>
              <w:right w:w="108" w:type="dxa"/>
            </w:tcMar>
          </w:tcPr>
          <w:p w:rsidR="00773AC3" w:rsidRPr="00034785" w:rsidRDefault="00773AC3" w:rsidP="00034785">
            <w:pPr>
              <w:spacing w:after="0" w:line="240" w:lineRule="auto"/>
              <w:rPr>
                <w:rFonts w:ascii="Times New Roman" w:hAnsi="Times New Roman" w:cs="Times New Roman"/>
                <w:sz w:val="16"/>
                <w:szCs w:val="16"/>
              </w:rPr>
            </w:pPr>
          </w:p>
        </w:tc>
      </w:tr>
      <w:tr w:rsidR="00773AC3" w:rsidRPr="0049024C" w:rsidTr="00445788">
        <w:trPr>
          <w:trHeight w:val="2882"/>
        </w:trPr>
        <w:tc>
          <w:tcPr>
            <w:tcW w:w="301" w:type="pct"/>
            <w:shd w:val="clear" w:color="auto" w:fill="FFFFFF"/>
            <w:tcMar>
              <w:top w:w="0" w:type="dxa"/>
              <w:left w:w="108" w:type="dxa"/>
              <w:bottom w:w="0" w:type="dxa"/>
              <w:right w:w="108" w:type="dxa"/>
            </w:tcMar>
          </w:tcPr>
          <w:p w:rsidR="00773AC3" w:rsidRPr="0049024C" w:rsidRDefault="00773AC3"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773AC3" w:rsidRPr="0049024C" w:rsidRDefault="00773AC3"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Programme and Financing:</w:t>
            </w:r>
          </w:p>
        </w:tc>
        <w:tc>
          <w:tcPr>
            <w:tcW w:w="2917" w:type="pct"/>
            <w:gridSpan w:val="2"/>
            <w:shd w:val="clear" w:color="auto" w:fill="C6D9F1"/>
            <w:tcMar>
              <w:top w:w="0" w:type="dxa"/>
              <w:left w:w="108" w:type="dxa"/>
              <w:bottom w:w="0" w:type="dxa"/>
              <w:right w:w="108" w:type="dxa"/>
            </w:tcMar>
          </w:tcPr>
          <w:p w:rsidR="00773AC3" w:rsidRPr="0049024C" w:rsidRDefault="00773AC3" w:rsidP="00193015">
            <w:pPr>
              <w:tabs>
                <w:tab w:val="clear" w:pos="720"/>
                <w:tab w:val="left" w:pos="459"/>
              </w:tabs>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 xml:space="preserve">Programme: Joint Regional Programme on Durable Solutions for refugees and displaced persons (Regional Housing </w:t>
            </w:r>
            <w:r w:rsidR="0049024C" w:rsidRPr="0049024C">
              <w:rPr>
                <w:rFonts w:ascii="Times New Roman" w:hAnsi="Times New Roman" w:cs="Times New Roman"/>
                <w:sz w:val="24"/>
                <w:szCs w:val="24"/>
              </w:rPr>
              <w:t>Programme</w:t>
            </w:r>
            <w:r w:rsidRPr="0049024C">
              <w:rPr>
                <w:rFonts w:ascii="Times New Roman" w:hAnsi="Times New Roman" w:cs="Times New Roman"/>
                <w:sz w:val="24"/>
                <w:szCs w:val="24"/>
              </w:rPr>
              <w:t xml:space="preserve"> – RHP)/Country Housing Programme of the Republic of Serbia.</w:t>
            </w:r>
          </w:p>
          <w:p w:rsidR="00773AC3" w:rsidRPr="0049024C" w:rsidRDefault="00773AC3" w:rsidP="00193015">
            <w:pPr>
              <w:tabs>
                <w:tab w:val="clear" w:pos="720"/>
                <w:tab w:val="left" w:pos="459"/>
              </w:tabs>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 xml:space="preserve">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w:t>
            </w:r>
            <w:r w:rsidR="003B2BF8">
              <w:rPr>
                <w:rFonts w:ascii="Times New Roman" w:hAnsi="Times New Roman" w:cs="Times New Roman"/>
                <w:sz w:val="24"/>
                <w:szCs w:val="24"/>
              </w:rPr>
              <w:t xml:space="preserve">implementation of </w:t>
            </w:r>
            <w:r w:rsidRPr="0049024C">
              <w:rPr>
                <w:rFonts w:ascii="Times New Roman" w:hAnsi="Times New Roman" w:cs="Times New Roman"/>
                <w:sz w:val="24"/>
                <w:szCs w:val="24"/>
              </w:rPr>
              <w:t>Regional Housing Programme and with respect to fourth sub-project under the Republic of Serbia’s Country Housing Project signed on 6 November 2014.</w:t>
            </w:r>
          </w:p>
        </w:tc>
      </w:tr>
      <w:tr w:rsidR="002D6E25" w:rsidRPr="00034785" w:rsidTr="00445788">
        <w:trPr>
          <w:trHeight w:val="454"/>
        </w:trPr>
        <w:tc>
          <w:tcPr>
            <w:tcW w:w="301" w:type="pct"/>
            <w:shd w:val="clear" w:color="auto" w:fill="FFFFFF"/>
            <w:tcMar>
              <w:top w:w="0" w:type="dxa"/>
              <w:left w:w="108" w:type="dxa"/>
              <w:bottom w:w="0" w:type="dxa"/>
              <w:right w:w="108" w:type="dxa"/>
            </w:tcMar>
          </w:tcPr>
          <w:p w:rsidR="002D6E25" w:rsidRPr="00034785" w:rsidRDefault="002D6E25" w:rsidP="00034785">
            <w:pPr>
              <w:pStyle w:val="ListParagraph"/>
              <w:tabs>
                <w:tab w:val="left" w:pos="846"/>
                <w:tab w:val="left" w:pos="1002"/>
                <w:tab w:val="left" w:pos="1284"/>
              </w:tabs>
              <w:spacing w:after="0" w:line="240" w:lineRule="auto"/>
              <w:ind w:left="282" w:right="12" w:hanging="225"/>
              <w:rPr>
                <w:rFonts w:ascii="Times New Roman" w:hAnsi="Times New Roman" w:cs="Times New Roman"/>
                <w:sz w:val="16"/>
                <w:szCs w:val="16"/>
              </w:rPr>
            </w:pPr>
          </w:p>
        </w:tc>
        <w:tc>
          <w:tcPr>
            <w:tcW w:w="4699" w:type="pct"/>
            <w:gridSpan w:val="4"/>
            <w:shd w:val="clear" w:color="auto" w:fill="FFFFFF"/>
            <w:tcMar>
              <w:top w:w="0" w:type="dxa"/>
              <w:left w:w="108" w:type="dxa"/>
              <w:bottom w:w="0" w:type="dxa"/>
              <w:right w:w="108" w:type="dxa"/>
            </w:tcMar>
          </w:tcPr>
          <w:p w:rsidR="002D6E25" w:rsidRPr="00034785" w:rsidRDefault="002D6E25" w:rsidP="00034785">
            <w:pPr>
              <w:spacing w:after="0" w:line="240" w:lineRule="auto"/>
              <w:rPr>
                <w:rFonts w:ascii="Times New Roman" w:hAnsi="Times New Roman" w:cs="Times New Roman"/>
                <w:sz w:val="16"/>
                <w:szCs w:val="16"/>
              </w:rPr>
            </w:pPr>
          </w:p>
        </w:tc>
      </w:tr>
      <w:tr w:rsidR="002D6E25" w:rsidRPr="0049024C" w:rsidTr="00445788">
        <w:trPr>
          <w:trHeight w:val="424"/>
        </w:trPr>
        <w:tc>
          <w:tcPr>
            <w:tcW w:w="301" w:type="pct"/>
            <w:shd w:val="clear" w:color="auto" w:fill="FFFFFF"/>
            <w:tcMar>
              <w:top w:w="0" w:type="dxa"/>
              <w:left w:w="108" w:type="dxa"/>
              <w:bottom w:w="0" w:type="dxa"/>
              <w:right w:w="108" w:type="dxa"/>
            </w:tcMar>
          </w:tcPr>
          <w:p w:rsidR="002D6E25" w:rsidRPr="0049024C" w:rsidRDefault="002D6E25"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2D6E25" w:rsidRPr="0049024C" w:rsidRDefault="00B93903"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Name of the Contracting Authority:</w:t>
            </w:r>
          </w:p>
        </w:tc>
        <w:tc>
          <w:tcPr>
            <w:tcW w:w="2917" w:type="pct"/>
            <w:gridSpan w:val="2"/>
            <w:shd w:val="clear" w:color="auto" w:fill="C6D9F1"/>
            <w:tcMar>
              <w:top w:w="0" w:type="dxa"/>
              <w:left w:w="108" w:type="dxa"/>
              <w:bottom w:w="0" w:type="dxa"/>
              <w:right w:w="108" w:type="dxa"/>
            </w:tcMar>
          </w:tcPr>
          <w:p w:rsidR="00D33894" w:rsidRPr="0049024C" w:rsidRDefault="00F5074E"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JUP</w:t>
            </w:r>
            <w:r w:rsidR="00BA0697"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Istraživanje</w:t>
            </w:r>
            <w:proofErr w:type="spellEnd"/>
            <w:r w:rsidR="00BA0697"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i</w:t>
            </w:r>
            <w:proofErr w:type="spellEnd"/>
            <w:r w:rsidR="00BA0697"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razvoj</w:t>
            </w:r>
            <w:proofErr w:type="spellEnd"/>
            <w:r w:rsidR="00BA0697"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d</w:t>
            </w:r>
            <w:r w:rsidR="00C24953" w:rsidRPr="0049024C">
              <w:rPr>
                <w:rFonts w:ascii="Times New Roman" w:hAnsi="Times New Roman" w:cs="Times New Roman"/>
                <w:sz w:val="24"/>
                <w:szCs w:val="24"/>
              </w:rPr>
              <w:t>.</w:t>
            </w:r>
            <w:r w:rsidRPr="0049024C">
              <w:rPr>
                <w:rFonts w:ascii="Times New Roman" w:hAnsi="Times New Roman" w:cs="Times New Roman"/>
                <w:sz w:val="24"/>
                <w:szCs w:val="24"/>
              </w:rPr>
              <w:t>o</w:t>
            </w:r>
            <w:r w:rsidR="00C24953" w:rsidRPr="0049024C">
              <w:rPr>
                <w:rFonts w:ascii="Times New Roman" w:hAnsi="Times New Roman" w:cs="Times New Roman"/>
                <w:sz w:val="24"/>
                <w:szCs w:val="24"/>
              </w:rPr>
              <w:t>.</w:t>
            </w:r>
            <w:r w:rsidRPr="0049024C">
              <w:rPr>
                <w:rFonts w:ascii="Times New Roman" w:hAnsi="Times New Roman" w:cs="Times New Roman"/>
                <w:sz w:val="24"/>
                <w:szCs w:val="24"/>
              </w:rPr>
              <w:t>o</w:t>
            </w:r>
            <w:proofErr w:type="spellEnd"/>
            <w:r w:rsidR="00C24953" w:rsidRPr="0049024C">
              <w:rPr>
                <w:rFonts w:ascii="Times New Roman" w:hAnsi="Times New Roman" w:cs="Times New Roman"/>
                <w:sz w:val="24"/>
                <w:szCs w:val="24"/>
              </w:rPr>
              <w:t>.</w:t>
            </w:r>
            <w:r w:rsidR="00BA0697" w:rsidRPr="0049024C">
              <w:rPr>
                <w:rFonts w:ascii="Times New Roman" w:hAnsi="Times New Roman" w:cs="Times New Roman"/>
                <w:sz w:val="24"/>
                <w:szCs w:val="24"/>
              </w:rPr>
              <w:t xml:space="preserve"> </w:t>
            </w:r>
            <w:r w:rsidRPr="0049024C">
              <w:rPr>
                <w:rFonts w:ascii="Times New Roman" w:hAnsi="Times New Roman" w:cs="Times New Roman"/>
                <w:sz w:val="24"/>
                <w:szCs w:val="24"/>
              </w:rPr>
              <w:t>Beograd</w:t>
            </w:r>
            <w:r w:rsidR="00BA0697" w:rsidRPr="0049024C">
              <w:rPr>
                <w:rFonts w:ascii="Times New Roman" w:hAnsi="Times New Roman" w:cs="Times New Roman"/>
                <w:sz w:val="24"/>
                <w:szCs w:val="24"/>
              </w:rPr>
              <w:t xml:space="preserve"> </w:t>
            </w:r>
          </w:p>
        </w:tc>
      </w:tr>
      <w:tr w:rsidR="002D6E25" w:rsidRPr="00034785" w:rsidTr="00445788">
        <w:trPr>
          <w:trHeight w:val="232"/>
        </w:trPr>
        <w:tc>
          <w:tcPr>
            <w:tcW w:w="301" w:type="pct"/>
            <w:shd w:val="clear" w:color="auto" w:fill="FFFFFF"/>
            <w:tcMar>
              <w:top w:w="0" w:type="dxa"/>
              <w:left w:w="108" w:type="dxa"/>
              <w:bottom w:w="0" w:type="dxa"/>
              <w:right w:w="108" w:type="dxa"/>
            </w:tcMar>
          </w:tcPr>
          <w:p w:rsidR="002D6E25" w:rsidRPr="00034785" w:rsidRDefault="002D6E25" w:rsidP="00034785">
            <w:pPr>
              <w:pStyle w:val="ListParagraph"/>
              <w:tabs>
                <w:tab w:val="left" w:pos="846"/>
                <w:tab w:val="left" w:pos="1002"/>
                <w:tab w:val="left" w:pos="1284"/>
              </w:tabs>
              <w:spacing w:after="0" w:line="240" w:lineRule="auto"/>
              <w:ind w:left="282" w:right="12" w:hanging="225"/>
              <w:rPr>
                <w:rFonts w:ascii="Times New Roman" w:hAnsi="Times New Roman" w:cs="Times New Roman"/>
                <w:sz w:val="16"/>
                <w:szCs w:val="16"/>
              </w:rPr>
            </w:pPr>
          </w:p>
        </w:tc>
        <w:tc>
          <w:tcPr>
            <w:tcW w:w="4699" w:type="pct"/>
            <w:gridSpan w:val="4"/>
            <w:shd w:val="clear" w:color="auto" w:fill="FFFFFF"/>
            <w:tcMar>
              <w:top w:w="0" w:type="dxa"/>
              <w:left w:w="108" w:type="dxa"/>
              <w:bottom w:w="0" w:type="dxa"/>
              <w:right w:w="108" w:type="dxa"/>
            </w:tcMar>
          </w:tcPr>
          <w:p w:rsidR="002D6E25" w:rsidRPr="00034785" w:rsidRDefault="002D6E25" w:rsidP="00034785">
            <w:pPr>
              <w:spacing w:after="0" w:line="240" w:lineRule="auto"/>
              <w:rPr>
                <w:rFonts w:ascii="Times New Roman" w:hAnsi="Times New Roman" w:cs="Times New Roman"/>
                <w:sz w:val="16"/>
                <w:szCs w:val="16"/>
              </w:rPr>
            </w:pPr>
          </w:p>
        </w:tc>
      </w:tr>
      <w:tr w:rsidR="00B93903" w:rsidRPr="0049024C" w:rsidTr="00445788">
        <w:trPr>
          <w:trHeight w:val="363"/>
        </w:trPr>
        <w:tc>
          <w:tcPr>
            <w:tcW w:w="301" w:type="pct"/>
            <w:shd w:val="clear" w:color="auto" w:fill="FFFFFF"/>
            <w:tcMar>
              <w:top w:w="0" w:type="dxa"/>
              <w:left w:w="108" w:type="dxa"/>
              <w:bottom w:w="0" w:type="dxa"/>
              <w:right w:w="108" w:type="dxa"/>
            </w:tcMar>
          </w:tcPr>
          <w:p w:rsidR="00B93903" w:rsidRPr="0049024C" w:rsidRDefault="00B93903"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B93903" w:rsidRPr="0049024C" w:rsidRDefault="00B93903"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Address of the Contracting Authority:</w:t>
            </w:r>
          </w:p>
        </w:tc>
        <w:tc>
          <w:tcPr>
            <w:tcW w:w="2917" w:type="pct"/>
            <w:gridSpan w:val="2"/>
            <w:shd w:val="clear" w:color="auto" w:fill="C6D9F1"/>
            <w:tcMar>
              <w:top w:w="0" w:type="dxa"/>
              <w:left w:w="108" w:type="dxa"/>
              <w:bottom w:w="0" w:type="dxa"/>
              <w:right w:w="108" w:type="dxa"/>
            </w:tcMar>
          </w:tcPr>
          <w:p w:rsidR="00B93903" w:rsidRPr="0049024C" w:rsidRDefault="00B93903"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 xml:space="preserve">22-26 </w:t>
            </w:r>
            <w:proofErr w:type="spellStart"/>
            <w:r w:rsidRPr="0049024C">
              <w:rPr>
                <w:rFonts w:ascii="Times New Roman" w:hAnsi="Times New Roman" w:cs="Times New Roman"/>
                <w:sz w:val="24"/>
                <w:szCs w:val="24"/>
              </w:rPr>
              <w:t>Nemanjina</w:t>
            </w:r>
            <w:proofErr w:type="spellEnd"/>
            <w:r w:rsidRPr="0049024C">
              <w:rPr>
                <w:rFonts w:ascii="Times New Roman" w:hAnsi="Times New Roman" w:cs="Times New Roman"/>
                <w:sz w:val="24"/>
                <w:szCs w:val="24"/>
              </w:rPr>
              <w:t xml:space="preserve">, 11000 Beograd, </w:t>
            </w:r>
            <w:proofErr w:type="spellStart"/>
            <w:r w:rsidRPr="0049024C">
              <w:rPr>
                <w:rFonts w:ascii="Times New Roman" w:hAnsi="Times New Roman" w:cs="Times New Roman"/>
                <w:sz w:val="24"/>
                <w:szCs w:val="24"/>
              </w:rPr>
              <w:t>Srbija</w:t>
            </w:r>
            <w:proofErr w:type="spellEnd"/>
          </w:p>
        </w:tc>
      </w:tr>
      <w:tr w:rsidR="002D6E25" w:rsidRPr="00034785" w:rsidTr="00445788">
        <w:trPr>
          <w:trHeight w:val="188"/>
        </w:trPr>
        <w:tc>
          <w:tcPr>
            <w:tcW w:w="301" w:type="pct"/>
            <w:shd w:val="clear" w:color="auto" w:fill="FFFFFF"/>
            <w:tcMar>
              <w:top w:w="0" w:type="dxa"/>
              <w:left w:w="108" w:type="dxa"/>
              <w:bottom w:w="0" w:type="dxa"/>
              <w:right w:w="108" w:type="dxa"/>
            </w:tcMar>
          </w:tcPr>
          <w:p w:rsidR="002D6E25" w:rsidRPr="00034785" w:rsidRDefault="002D6E25" w:rsidP="00034785">
            <w:pPr>
              <w:pStyle w:val="ListParagraph"/>
              <w:tabs>
                <w:tab w:val="left" w:pos="846"/>
                <w:tab w:val="left" w:pos="1002"/>
                <w:tab w:val="left" w:pos="1284"/>
              </w:tabs>
              <w:spacing w:after="0" w:line="240" w:lineRule="auto"/>
              <w:ind w:left="282" w:right="12" w:hanging="225"/>
              <w:rPr>
                <w:rFonts w:ascii="Times New Roman" w:hAnsi="Times New Roman" w:cs="Times New Roman"/>
                <w:sz w:val="16"/>
                <w:szCs w:val="16"/>
              </w:rPr>
            </w:pPr>
          </w:p>
        </w:tc>
        <w:tc>
          <w:tcPr>
            <w:tcW w:w="4699" w:type="pct"/>
            <w:gridSpan w:val="4"/>
            <w:shd w:val="clear" w:color="auto" w:fill="FFFFFF"/>
            <w:tcMar>
              <w:top w:w="0" w:type="dxa"/>
              <w:left w:w="108" w:type="dxa"/>
              <w:bottom w:w="0" w:type="dxa"/>
              <w:right w:w="108" w:type="dxa"/>
            </w:tcMar>
          </w:tcPr>
          <w:p w:rsidR="002D6E25" w:rsidRPr="00034785" w:rsidRDefault="002D6E25" w:rsidP="00034785">
            <w:pPr>
              <w:spacing w:after="0" w:line="240" w:lineRule="auto"/>
              <w:rPr>
                <w:rFonts w:ascii="Times New Roman" w:hAnsi="Times New Roman" w:cs="Times New Roman"/>
                <w:sz w:val="16"/>
                <w:szCs w:val="16"/>
              </w:rPr>
            </w:pPr>
          </w:p>
        </w:tc>
      </w:tr>
      <w:tr w:rsidR="00B93903" w:rsidRPr="0049024C" w:rsidTr="00445788">
        <w:trPr>
          <w:trHeight w:val="507"/>
        </w:trPr>
        <w:tc>
          <w:tcPr>
            <w:tcW w:w="301" w:type="pct"/>
            <w:shd w:val="clear" w:color="auto" w:fill="FFFFFF"/>
            <w:tcMar>
              <w:top w:w="0" w:type="dxa"/>
              <w:left w:w="108" w:type="dxa"/>
              <w:bottom w:w="0" w:type="dxa"/>
              <w:right w:w="108" w:type="dxa"/>
            </w:tcMar>
          </w:tcPr>
          <w:p w:rsidR="00B93903" w:rsidRPr="0049024C" w:rsidRDefault="00B93903"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B93903" w:rsidRPr="0049024C" w:rsidRDefault="00B93903"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Web address of the Contracting Authority:</w:t>
            </w:r>
          </w:p>
        </w:tc>
        <w:tc>
          <w:tcPr>
            <w:tcW w:w="2917" w:type="pct"/>
            <w:gridSpan w:val="2"/>
            <w:shd w:val="clear" w:color="auto" w:fill="C6D9F1"/>
            <w:tcMar>
              <w:top w:w="0" w:type="dxa"/>
              <w:left w:w="108" w:type="dxa"/>
              <w:bottom w:w="0" w:type="dxa"/>
              <w:right w:w="108" w:type="dxa"/>
            </w:tcMar>
          </w:tcPr>
          <w:p w:rsidR="00B93903" w:rsidRPr="0049024C" w:rsidRDefault="00F00575" w:rsidP="00193015">
            <w:pPr>
              <w:spacing w:before="120" w:after="120" w:line="240" w:lineRule="auto"/>
              <w:rPr>
                <w:rFonts w:ascii="Times New Roman" w:hAnsi="Times New Roman" w:cs="Times New Roman"/>
                <w:sz w:val="24"/>
                <w:szCs w:val="24"/>
              </w:rPr>
            </w:pPr>
            <w:hyperlink r:id="rId9" w:history="1">
              <w:r w:rsidR="00B93903" w:rsidRPr="0049024C">
                <w:rPr>
                  <w:rStyle w:val="Hyperlink"/>
                  <w:rFonts w:ascii="Times New Roman" w:hAnsi="Times New Roman" w:cs="Times New Roman"/>
                  <w:sz w:val="24"/>
                  <w:szCs w:val="24"/>
                </w:rPr>
                <w:t>www.piu.rs</w:t>
              </w:r>
            </w:hyperlink>
          </w:p>
        </w:tc>
      </w:tr>
      <w:tr w:rsidR="002D6E25" w:rsidRPr="00034785" w:rsidTr="00445788">
        <w:trPr>
          <w:trHeight w:val="130"/>
        </w:trPr>
        <w:tc>
          <w:tcPr>
            <w:tcW w:w="301" w:type="pct"/>
            <w:shd w:val="clear" w:color="auto" w:fill="FFFFFF"/>
            <w:tcMar>
              <w:top w:w="0" w:type="dxa"/>
              <w:left w:w="108" w:type="dxa"/>
              <w:bottom w:w="0" w:type="dxa"/>
              <w:right w:w="108" w:type="dxa"/>
            </w:tcMar>
          </w:tcPr>
          <w:p w:rsidR="002D6E25" w:rsidRPr="00034785" w:rsidRDefault="002D6E25" w:rsidP="00034785">
            <w:pPr>
              <w:pStyle w:val="ListParagraph"/>
              <w:tabs>
                <w:tab w:val="left" w:pos="846"/>
                <w:tab w:val="left" w:pos="1002"/>
                <w:tab w:val="left" w:pos="1284"/>
              </w:tabs>
              <w:spacing w:after="0" w:line="240" w:lineRule="auto"/>
              <w:ind w:left="282" w:right="12" w:hanging="225"/>
              <w:rPr>
                <w:rFonts w:ascii="Times New Roman" w:hAnsi="Times New Roman" w:cs="Times New Roman"/>
                <w:sz w:val="16"/>
                <w:szCs w:val="16"/>
              </w:rPr>
            </w:pPr>
          </w:p>
        </w:tc>
        <w:tc>
          <w:tcPr>
            <w:tcW w:w="4699" w:type="pct"/>
            <w:gridSpan w:val="4"/>
            <w:shd w:val="clear" w:color="auto" w:fill="FFFFFF"/>
            <w:tcMar>
              <w:top w:w="0" w:type="dxa"/>
              <w:left w:w="108" w:type="dxa"/>
              <w:bottom w:w="0" w:type="dxa"/>
              <w:right w:w="108" w:type="dxa"/>
            </w:tcMar>
          </w:tcPr>
          <w:p w:rsidR="002D6E25" w:rsidRPr="00034785" w:rsidRDefault="002D6E25" w:rsidP="00034785">
            <w:pPr>
              <w:pStyle w:val="ListParagraph"/>
              <w:spacing w:after="0" w:line="240" w:lineRule="auto"/>
              <w:rPr>
                <w:rFonts w:ascii="Times New Roman" w:hAnsi="Times New Roman" w:cs="Times New Roman"/>
                <w:sz w:val="16"/>
                <w:szCs w:val="16"/>
              </w:rPr>
            </w:pPr>
          </w:p>
        </w:tc>
      </w:tr>
      <w:tr w:rsidR="00B93903" w:rsidRPr="0049024C" w:rsidTr="00445788">
        <w:trPr>
          <w:trHeight w:val="614"/>
        </w:trPr>
        <w:tc>
          <w:tcPr>
            <w:tcW w:w="301" w:type="pct"/>
            <w:shd w:val="clear" w:color="auto" w:fill="FFFFFF"/>
            <w:tcMar>
              <w:top w:w="0" w:type="dxa"/>
              <w:left w:w="108" w:type="dxa"/>
              <w:bottom w:w="0" w:type="dxa"/>
              <w:right w:w="108" w:type="dxa"/>
            </w:tcMar>
          </w:tcPr>
          <w:p w:rsidR="00B93903" w:rsidRPr="0049024C" w:rsidRDefault="00B93903"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B93903" w:rsidRPr="0049024C" w:rsidRDefault="00B93903"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Type of procurement procedure:</w:t>
            </w:r>
          </w:p>
        </w:tc>
        <w:tc>
          <w:tcPr>
            <w:tcW w:w="2917" w:type="pct"/>
            <w:gridSpan w:val="2"/>
            <w:shd w:val="clear" w:color="auto" w:fill="C6D9F1"/>
            <w:tcMar>
              <w:top w:w="0" w:type="dxa"/>
              <w:left w:w="108" w:type="dxa"/>
              <w:bottom w:w="0" w:type="dxa"/>
              <w:right w:w="108" w:type="dxa"/>
            </w:tcMar>
          </w:tcPr>
          <w:p w:rsidR="00B93903" w:rsidRPr="0049024C" w:rsidRDefault="001218EA" w:rsidP="00193015">
            <w:pPr>
              <w:tabs>
                <w:tab w:val="clear" w:pos="720"/>
                <w:tab w:val="left" w:pos="360"/>
              </w:tabs>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International open procedure</w:t>
            </w:r>
          </w:p>
        </w:tc>
      </w:tr>
      <w:tr w:rsidR="002D6E25" w:rsidRPr="00034785" w:rsidTr="00445788">
        <w:trPr>
          <w:trHeight w:val="216"/>
        </w:trPr>
        <w:tc>
          <w:tcPr>
            <w:tcW w:w="301" w:type="pct"/>
            <w:shd w:val="clear" w:color="auto" w:fill="FFFFFF"/>
            <w:tcMar>
              <w:top w:w="0" w:type="dxa"/>
              <w:left w:w="108" w:type="dxa"/>
              <w:bottom w:w="0" w:type="dxa"/>
              <w:right w:w="108" w:type="dxa"/>
            </w:tcMar>
          </w:tcPr>
          <w:p w:rsidR="002D6E25" w:rsidRPr="00034785" w:rsidRDefault="002D6E25" w:rsidP="00034785">
            <w:pPr>
              <w:pStyle w:val="ListParagraph"/>
              <w:tabs>
                <w:tab w:val="left" w:pos="846"/>
                <w:tab w:val="left" w:pos="1002"/>
                <w:tab w:val="left" w:pos="1284"/>
              </w:tabs>
              <w:spacing w:after="0" w:line="240" w:lineRule="auto"/>
              <w:ind w:left="282" w:right="12" w:hanging="225"/>
              <w:rPr>
                <w:rFonts w:ascii="Times New Roman" w:hAnsi="Times New Roman" w:cs="Times New Roman"/>
                <w:sz w:val="16"/>
                <w:szCs w:val="16"/>
              </w:rPr>
            </w:pPr>
          </w:p>
        </w:tc>
        <w:tc>
          <w:tcPr>
            <w:tcW w:w="4699" w:type="pct"/>
            <w:gridSpan w:val="4"/>
            <w:shd w:val="clear" w:color="auto" w:fill="FFFFFF"/>
            <w:tcMar>
              <w:top w:w="0" w:type="dxa"/>
              <w:left w:w="108" w:type="dxa"/>
              <w:bottom w:w="0" w:type="dxa"/>
              <w:right w:w="108" w:type="dxa"/>
            </w:tcMar>
          </w:tcPr>
          <w:p w:rsidR="002D6E25" w:rsidRPr="00034785" w:rsidRDefault="002D6E25" w:rsidP="00034785">
            <w:pPr>
              <w:pStyle w:val="ListParagraph"/>
              <w:spacing w:after="0" w:line="240" w:lineRule="auto"/>
              <w:rPr>
                <w:rFonts w:ascii="Times New Roman" w:hAnsi="Times New Roman" w:cs="Times New Roman"/>
                <w:sz w:val="16"/>
                <w:szCs w:val="16"/>
              </w:rPr>
            </w:pPr>
          </w:p>
        </w:tc>
      </w:tr>
      <w:tr w:rsidR="00D56580" w:rsidRPr="0049024C" w:rsidTr="00445788">
        <w:trPr>
          <w:trHeight w:val="614"/>
        </w:trPr>
        <w:tc>
          <w:tcPr>
            <w:tcW w:w="301" w:type="pct"/>
            <w:shd w:val="clear" w:color="auto" w:fill="FFFFFF"/>
            <w:tcMar>
              <w:top w:w="0" w:type="dxa"/>
              <w:left w:w="108" w:type="dxa"/>
              <w:bottom w:w="0" w:type="dxa"/>
              <w:right w:w="108" w:type="dxa"/>
            </w:tcMar>
          </w:tcPr>
          <w:p w:rsidR="00D56580" w:rsidRPr="0049024C" w:rsidRDefault="00D56580"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D56580" w:rsidRPr="0049024C" w:rsidRDefault="00D56580"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Type of contract:</w:t>
            </w:r>
          </w:p>
        </w:tc>
        <w:tc>
          <w:tcPr>
            <w:tcW w:w="2917" w:type="pct"/>
            <w:gridSpan w:val="2"/>
            <w:shd w:val="clear" w:color="auto" w:fill="C6D9F1"/>
            <w:tcMar>
              <w:top w:w="0" w:type="dxa"/>
              <w:left w:w="108" w:type="dxa"/>
              <w:bottom w:w="0" w:type="dxa"/>
              <w:right w:w="108" w:type="dxa"/>
            </w:tcMar>
          </w:tcPr>
          <w:p w:rsidR="00D56580" w:rsidRPr="0049024C" w:rsidRDefault="00D56580" w:rsidP="00193015">
            <w:pPr>
              <w:tabs>
                <w:tab w:val="clear" w:pos="720"/>
                <w:tab w:val="left" w:pos="295"/>
              </w:tabs>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Work Contract</w:t>
            </w:r>
          </w:p>
        </w:tc>
      </w:tr>
      <w:tr w:rsidR="003B2BF8" w:rsidRPr="00034785" w:rsidTr="00445788">
        <w:trPr>
          <w:trHeight w:val="216"/>
        </w:trPr>
        <w:tc>
          <w:tcPr>
            <w:tcW w:w="301" w:type="pct"/>
            <w:shd w:val="clear" w:color="auto" w:fill="FFFFFF"/>
            <w:tcMar>
              <w:top w:w="0" w:type="dxa"/>
              <w:left w:w="108" w:type="dxa"/>
              <w:bottom w:w="0" w:type="dxa"/>
              <w:right w:w="108" w:type="dxa"/>
            </w:tcMar>
          </w:tcPr>
          <w:p w:rsidR="003B2BF8" w:rsidRPr="00034785" w:rsidRDefault="003B2BF8" w:rsidP="00034785">
            <w:pPr>
              <w:pStyle w:val="ListParagraph"/>
              <w:tabs>
                <w:tab w:val="left" w:pos="846"/>
                <w:tab w:val="left" w:pos="1002"/>
                <w:tab w:val="left" w:pos="1284"/>
              </w:tabs>
              <w:spacing w:after="0" w:line="240" w:lineRule="auto"/>
              <w:ind w:left="282" w:right="12" w:hanging="225"/>
              <w:rPr>
                <w:rFonts w:ascii="Times New Roman" w:hAnsi="Times New Roman" w:cs="Times New Roman"/>
                <w:sz w:val="16"/>
                <w:szCs w:val="16"/>
              </w:rPr>
            </w:pPr>
          </w:p>
        </w:tc>
        <w:tc>
          <w:tcPr>
            <w:tcW w:w="4699" w:type="pct"/>
            <w:gridSpan w:val="4"/>
            <w:shd w:val="clear" w:color="auto" w:fill="FFFFFF"/>
            <w:tcMar>
              <w:top w:w="0" w:type="dxa"/>
              <w:left w:w="108" w:type="dxa"/>
              <w:bottom w:w="0" w:type="dxa"/>
              <w:right w:w="108" w:type="dxa"/>
            </w:tcMar>
          </w:tcPr>
          <w:p w:rsidR="003B2BF8" w:rsidRPr="00034785" w:rsidRDefault="003B2BF8" w:rsidP="00034785">
            <w:pPr>
              <w:pStyle w:val="ListParagraph"/>
              <w:spacing w:after="0" w:line="240" w:lineRule="auto"/>
              <w:rPr>
                <w:rFonts w:ascii="Times New Roman" w:hAnsi="Times New Roman" w:cs="Times New Roman"/>
                <w:sz w:val="16"/>
                <w:szCs w:val="16"/>
              </w:rPr>
            </w:pPr>
          </w:p>
        </w:tc>
      </w:tr>
      <w:tr w:rsidR="00B93903" w:rsidRPr="0049024C" w:rsidTr="00445788">
        <w:tc>
          <w:tcPr>
            <w:tcW w:w="301" w:type="pct"/>
            <w:shd w:val="clear" w:color="auto" w:fill="FFFFFF" w:themeFill="background1"/>
            <w:tcMar>
              <w:top w:w="0" w:type="dxa"/>
              <w:left w:w="108" w:type="dxa"/>
              <w:bottom w:w="0" w:type="dxa"/>
              <w:right w:w="108" w:type="dxa"/>
            </w:tcMar>
          </w:tcPr>
          <w:p w:rsidR="00B93903" w:rsidRPr="0049024C" w:rsidRDefault="00B93903"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FFFFFF" w:themeFill="background1"/>
            <w:tcMar>
              <w:top w:w="0" w:type="dxa"/>
              <w:left w:w="108" w:type="dxa"/>
              <w:bottom w:w="0" w:type="dxa"/>
              <w:right w:w="108" w:type="dxa"/>
            </w:tcMar>
          </w:tcPr>
          <w:p w:rsidR="00B93903" w:rsidRPr="0049024C" w:rsidRDefault="00B93903"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 xml:space="preserve">Description of the </w:t>
            </w:r>
            <w:r w:rsidR="003B2BF8">
              <w:rPr>
                <w:rFonts w:ascii="Times New Roman" w:hAnsi="Times New Roman" w:cs="Times New Roman"/>
                <w:sz w:val="24"/>
                <w:szCs w:val="24"/>
              </w:rPr>
              <w:t>works</w:t>
            </w:r>
            <w:r w:rsidRPr="0049024C">
              <w:rPr>
                <w:rFonts w:ascii="Times New Roman" w:hAnsi="Times New Roman" w:cs="Times New Roman"/>
                <w:sz w:val="24"/>
                <w:szCs w:val="24"/>
              </w:rPr>
              <w:t>:</w:t>
            </w:r>
          </w:p>
        </w:tc>
      </w:tr>
      <w:tr w:rsidR="002D6E25" w:rsidRPr="0049024C" w:rsidTr="00445788">
        <w:tc>
          <w:tcPr>
            <w:tcW w:w="301" w:type="pct"/>
            <w:shd w:val="clear" w:color="auto" w:fill="FFFFFF"/>
            <w:tcMar>
              <w:top w:w="0" w:type="dxa"/>
              <w:left w:w="108" w:type="dxa"/>
              <w:bottom w:w="0" w:type="dxa"/>
              <w:right w:w="108" w:type="dxa"/>
            </w:tcMar>
          </w:tcPr>
          <w:p w:rsidR="002D6E25" w:rsidRPr="0049024C" w:rsidRDefault="002D6E25" w:rsidP="00193015">
            <w:pPr>
              <w:tabs>
                <w:tab w:val="left" w:pos="846"/>
                <w:tab w:val="left" w:pos="1002"/>
                <w:tab w:val="left" w:pos="1284"/>
              </w:tabs>
              <w:spacing w:before="120" w:after="120" w:line="240" w:lineRule="auto"/>
              <w:ind w:left="360" w:right="12"/>
              <w:rPr>
                <w:rFonts w:ascii="Times New Roman" w:hAnsi="Times New Roman" w:cs="Times New Roman"/>
                <w:sz w:val="24"/>
                <w:szCs w:val="24"/>
              </w:rPr>
            </w:pPr>
          </w:p>
          <w:p w:rsidR="00973CF2" w:rsidRPr="0049024C" w:rsidRDefault="00973CF2" w:rsidP="00193015">
            <w:pPr>
              <w:tabs>
                <w:tab w:val="left" w:pos="846"/>
                <w:tab w:val="left" w:pos="1002"/>
                <w:tab w:val="left" w:pos="1284"/>
              </w:tabs>
              <w:spacing w:before="120" w:after="120" w:line="240" w:lineRule="auto"/>
              <w:ind w:left="360" w:right="12"/>
              <w:rPr>
                <w:rFonts w:ascii="Times New Roman" w:hAnsi="Times New Roman" w:cs="Times New Roman"/>
                <w:sz w:val="24"/>
                <w:szCs w:val="24"/>
              </w:rPr>
            </w:pPr>
          </w:p>
          <w:p w:rsidR="00973CF2" w:rsidRPr="0049024C" w:rsidRDefault="00973CF2" w:rsidP="00193015">
            <w:pPr>
              <w:tabs>
                <w:tab w:val="left" w:pos="846"/>
                <w:tab w:val="left" w:pos="1002"/>
                <w:tab w:val="left" w:pos="1284"/>
              </w:tabs>
              <w:spacing w:before="120" w:after="120" w:line="240" w:lineRule="auto"/>
              <w:ind w:left="360" w:right="12"/>
              <w:rPr>
                <w:rFonts w:ascii="Times New Roman" w:hAnsi="Times New Roman" w:cs="Times New Roman"/>
                <w:sz w:val="24"/>
                <w:szCs w:val="24"/>
              </w:rPr>
            </w:pPr>
          </w:p>
        </w:tc>
        <w:tc>
          <w:tcPr>
            <w:tcW w:w="4699" w:type="pct"/>
            <w:gridSpan w:val="4"/>
            <w:shd w:val="clear" w:color="auto" w:fill="C6D9F1" w:themeFill="text2" w:themeFillTint="33"/>
            <w:tcMar>
              <w:top w:w="0" w:type="dxa"/>
              <w:left w:w="108" w:type="dxa"/>
              <w:bottom w:w="0" w:type="dxa"/>
              <w:right w:w="108" w:type="dxa"/>
            </w:tcMar>
          </w:tcPr>
          <w:p w:rsidR="00D56580" w:rsidRPr="0049024C" w:rsidRDefault="00D56580"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In the framework of the implementation of the Regional Housing Programme in</w:t>
            </w:r>
            <w:r w:rsidR="003B2BF8">
              <w:rPr>
                <w:rFonts w:ascii="Times New Roman" w:hAnsi="Times New Roman" w:cs="Times New Roman"/>
                <w:sz w:val="24"/>
                <w:szCs w:val="24"/>
              </w:rPr>
              <w:t xml:space="preserve"> the Republic of</w:t>
            </w:r>
            <w:r w:rsidRPr="0049024C">
              <w:rPr>
                <w:rFonts w:ascii="Times New Roman" w:hAnsi="Times New Roman" w:cs="Times New Roman"/>
                <w:sz w:val="24"/>
                <w:szCs w:val="24"/>
              </w:rPr>
              <w:t xml:space="preserve"> Serbia,</w:t>
            </w:r>
            <w:r w:rsidR="003B2BF8">
              <w:rPr>
                <w:rFonts w:ascii="Times New Roman" w:hAnsi="Times New Roman" w:cs="Times New Roman"/>
                <w:sz w:val="24"/>
                <w:szCs w:val="24"/>
              </w:rPr>
              <w:t xml:space="preserve"> the construction of the Multi-a</w:t>
            </w:r>
            <w:r w:rsidRPr="0049024C">
              <w:rPr>
                <w:rFonts w:ascii="Times New Roman" w:hAnsi="Times New Roman" w:cs="Times New Roman"/>
                <w:sz w:val="24"/>
                <w:szCs w:val="24"/>
              </w:rPr>
              <w:t xml:space="preserve">partment Buildings is envisaged as one of the housing </w:t>
            </w:r>
            <w:r w:rsidR="003B2BF8">
              <w:rPr>
                <w:rFonts w:ascii="Times New Roman" w:hAnsi="Times New Roman" w:cs="Times New Roman"/>
                <w:sz w:val="24"/>
                <w:szCs w:val="24"/>
              </w:rPr>
              <w:t xml:space="preserve">solutions </w:t>
            </w:r>
            <w:r w:rsidRPr="0049024C">
              <w:rPr>
                <w:rFonts w:ascii="Times New Roman" w:hAnsi="Times New Roman" w:cs="Times New Roman"/>
                <w:sz w:val="24"/>
                <w:szCs w:val="24"/>
              </w:rPr>
              <w:t xml:space="preserve">(A1: Apartment Buildings) which is to be carried out in several implementation stages. </w:t>
            </w:r>
          </w:p>
          <w:p w:rsidR="00D56580" w:rsidRPr="0049024C" w:rsidRDefault="00D56580"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lastRenderedPageBreak/>
              <w:t xml:space="preserve">The mentioned housing </w:t>
            </w:r>
            <w:r w:rsidR="003B2BF8">
              <w:rPr>
                <w:rFonts w:ascii="Times New Roman" w:hAnsi="Times New Roman" w:cs="Times New Roman"/>
                <w:sz w:val="24"/>
                <w:szCs w:val="24"/>
              </w:rPr>
              <w:t xml:space="preserve">solution </w:t>
            </w:r>
            <w:r w:rsidRPr="0049024C">
              <w:rPr>
                <w:rFonts w:ascii="Times New Roman" w:hAnsi="Times New Roman" w:cs="Times New Roman"/>
                <w:sz w:val="24"/>
                <w:szCs w:val="24"/>
              </w:rPr>
              <w:t xml:space="preserve">defines collective housing in the apartments on the new locations and refers to the refugees wishing to integrate in the local communities as the users. </w:t>
            </w:r>
          </w:p>
          <w:p w:rsidR="006B7537" w:rsidRPr="0049024C" w:rsidRDefault="00D56580"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 xml:space="preserve">The scope of this project implies the construction of </w:t>
            </w:r>
            <w:r w:rsidR="000E0BA6" w:rsidRPr="0049024C">
              <w:rPr>
                <w:rFonts w:ascii="Times New Roman" w:hAnsi="Times New Roman" w:cs="Times New Roman"/>
                <w:sz w:val="24"/>
                <w:szCs w:val="24"/>
              </w:rPr>
              <w:t>residential complex of social housing in the following towns</w:t>
            </w:r>
            <w:r w:rsidR="003B2BF8">
              <w:rPr>
                <w:rFonts w:ascii="Times New Roman" w:hAnsi="Times New Roman" w:cs="Times New Roman"/>
                <w:sz w:val="24"/>
                <w:szCs w:val="24"/>
              </w:rPr>
              <w:t xml:space="preserve"> and municipalities</w:t>
            </w:r>
            <w:r w:rsidR="00A35600" w:rsidRPr="0049024C">
              <w:rPr>
                <w:rFonts w:ascii="Times New Roman" w:hAnsi="Times New Roman" w:cs="Times New Roman"/>
                <w:sz w:val="24"/>
                <w:szCs w:val="24"/>
              </w:rPr>
              <w:t xml:space="preserve">: </w:t>
            </w:r>
            <w:proofErr w:type="spellStart"/>
            <w:r w:rsidR="00723EE1">
              <w:rPr>
                <w:rFonts w:ascii="Times New Roman" w:hAnsi="Times New Roman" w:cs="Times New Roman"/>
                <w:sz w:val="24"/>
                <w:szCs w:val="24"/>
              </w:rPr>
              <w:t>Arilje</w:t>
            </w:r>
            <w:proofErr w:type="spellEnd"/>
            <w:r w:rsidR="00723EE1">
              <w:rPr>
                <w:rFonts w:ascii="Times New Roman" w:hAnsi="Times New Roman" w:cs="Times New Roman"/>
                <w:sz w:val="24"/>
                <w:szCs w:val="24"/>
              </w:rPr>
              <w:t xml:space="preserve">, </w:t>
            </w:r>
            <w:proofErr w:type="spellStart"/>
            <w:r w:rsidR="00723EE1">
              <w:rPr>
                <w:rFonts w:ascii="Times New Roman" w:hAnsi="Times New Roman" w:cs="Times New Roman"/>
                <w:sz w:val="24"/>
                <w:szCs w:val="24"/>
              </w:rPr>
              <w:t>Bor</w:t>
            </w:r>
            <w:proofErr w:type="spellEnd"/>
            <w:r w:rsidR="00723EE1">
              <w:rPr>
                <w:rFonts w:ascii="Times New Roman" w:hAnsi="Times New Roman" w:cs="Times New Roman"/>
                <w:sz w:val="24"/>
                <w:szCs w:val="24"/>
              </w:rPr>
              <w:t xml:space="preserve">, </w:t>
            </w:r>
            <w:proofErr w:type="spellStart"/>
            <w:r w:rsidR="00723EE1">
              <w:rPr>
                <w:rFonts w:ascii="Times New Roman" w:hAnsi="Times New Roman" w:cs="Times New Roman"/>
                <w:sz w:val="24"/>
                <w:szCs w:val="24"/>
              </w:rPr>
              <w:t>Vrnjacka</w:t>
            </w:r>
            <w:proofErr w:type="spellEnd"/>
            <w:r w:rsidR="00723EE1">
              <w:rPr>
                <w:rFonts w:ascii="Times New Roman" w:hAnsi="Times New Roman" w:cs="Times New Roman"/>
                <w:sz w:val="24"/>
                <w:szCs w:val="24"/>
              </w:rPr>
              <w:t xml:space="preserve"> Banja, </w:t>
            </w:r>
            <w:proofErr w:type="spellStart"/>
            <w:r w:rsidR="00723EE1">
              <w:rPr>
                <w:rFonts w:ascii="Times New Roman" w:hAnsi="Times New Roman" w:cs="Times New Roman"/>
                <w:sz w:val="24"/>
                <w:szCs w:val="24"/>
              </w:rPr>
              <w:t>Odz</w:t>
            </w:r>
            <w:r w:rsidR="007A7D86" w:rsidRPr="0049024C">
              <w:rPr>
                <w:rFonts w:ascii="Times New Roman" w:hAnsi="Times New Roman" w:cs="Times New Roman"/>
                <w:sz w:val="24"/>
                <w:szCs w:val="24"/>
              </w:rPr>
              <w:t>aci</w:t>
            </w:r>
            <w:proofErr w:type="spellEnd"/>
            <w:r w:rsidR="007A7D86" w:rsidRPr="0049024C">
              <w:rPr>
                <w:rFonts w:ascii="Times New Roman" w:hAnsi="Times New Roman" w:cs="Times New Roman"/>
                <w:sz w:val="24"/>
                <w:szCs w:val="24"/>
              </w:rPr>
              <w:t xml:space="preserve">, </w:t>
            </w:r>
            <w:proofErr w:type="spellStart"/>
            <w:r w:rsidR="007A7D86" w:rsidRPr="0049024C">
              <w:rPr>
                <w:rFonts w:ascii="Times New Roman" w:hAnsi="Times New Roman" w:cs="Times New Roman"/>
                <w:sz w:val="24"/>
                <w:szCs w:val="24"/>
              </w:rPr>
              <w:t>S</w:t>
            </w:r>
            <w:r w:rsidR="00723EE1">
              <w:rPr>
                <w:rFonts w:ascii="Times New Roman" w:hAnsi="Times New Roman" w:cs="Times New Roman"/>
                <w:sz w:val="24"/>
                <w:szCs w:val="24"/>
              </w:rPr>
              <w:t>ombor</w:t>
            </w:r>
            <w:proofErr w:type="spellEnd"/>
            <w:r w:rsidR="00723EE1">
              <w:rPr>
                <w:rFonts w:ascii="Times New Roman" w:hAnsi="Times New Roman" w:cs="Times New Roman"/>
                <w:sz w:val="24"/>
                <w:szCs w:val="24"/>
              </w:rPr>
              <w:t xml:space="preserve">, </w:t>
            </w:r>
            <w:proofErr w:type="spellStart"/>
            <w:r w:rsidR="00723EE1">
              <w:rPr>
                <w:rFonts w:ascii="Times New Roman" w:hAnsi="Times New Roman" w:cs="Times New Roman"/>
                <w:sz w:val="24"/>
                <w:szCs w:val="24"/>
              </w:rPr>
              <w:t>Stara</w:t>
            </w:r>
            <w:proofErr w:type="spellEnd"/>
            <w:r w:rsidR="00723EE1">
              <w:rPr>
                <w:rFonts w:ascii="Times New Roman" w:hAnsi="Times New Roman" w:cs="Times New Roman"/>
                <w:sz w:val="24"/>
                <w:szCs w:val="24"/>
              </w:rPr>
              <w:t xml:space="preserve"> </w:t>
            </w:r>
            <w:proofErr w:type="spellStart"/>
            <w:r w:rsidR="00723EE1">
              <w:rPr>
                <w:rFonts w:ascii="Times New Roman" w:hAnsi="Times New Roman" w:cs="Times New Roman"/>
                <w:sz w:val="24"/>
                <w:szCs w:val="24"/>
              </w:rPr>
              <w:t>Pazova</w:t>
            </w:r>
            <w:proofErr w:type="spellEnd"/>
            <w:r w:rsidR="00723EE1">
              <w:rPr>
                <w:rFonts w:ascii="Times New Roman" w:hAnsi="Times New Roman" w:cs="Times New Roman"/>
                <w:sz w:val="24"/>
                <w:szCs w:val="24"/>
              </w:rPr>
              <w:t xml:space="preserve">, </w:t>
            </w:r>
            <w:proofErr w:type="spellStart"/>
            <w:r w:rsidR="00723EE1">
              <w:rPr>
                <w:rFonts w:ascii="Times New Roman" w:hAnsi="Times New Roman" w:cs="Times New Roman"/>
                <w:sz w:val="24"/>
                <w:szCs w:val="24"/>
              </w:rPr>
              <w:t>Temerin</w:t>
            </w:r>
            <w:proofErr w:type="spellEnd"/>
            <w:r w:rsidR="00723EE1">
              <w:rPr>
                <w:rFonts w:ascii="Times New Roman" w:hAnsi="Times New Roman" w:cs="Times New Roman"/>
                <w:sz w:val="24"/>
                <w:szCs w:val="24"/>
              </w:rPr>
              <w:t xml:space="preserve">, </w:t>
            </w:r>
            <w:proofErr w:type="spellStart"/>
            <w:r w:rsidR="00723EE1">
              <w:rPr>
                <w:rFonts w:ascii="Times New Roman" w:hAnsi="Times New Roman" w:cs="Times New Roman"/>
                <w:sz w:val="24"/>
                <w:szCs w:val="24"/>
              </w:rPr>
              <w:t>Uz</w:t>
            </w:r>
            <w:r w:rsidR="007A7D86" w:rsidRPr="0049024C">
              <w:rPr>
                <w:rFonts w:ascii="Times New Roman" w:hAnsi="Times New Roman" w:cs="Times New Roman"/>
                <w:sz w:val="24"/>
                <w:szCs w:val="24"/>
              </w:rPr>
              <w:t>ice</w:t>
            </w:r>
            <w:proofErr w:type="spellEnd"/>
            <w:r w:rsidR="007A7D86" w:rsidRPr="0049024C">
              <w:rPr>
                <w:rFonts w:ascii="Times New Roman" w:hAnsi="Times New Roman" w:cs="Times New Roman"/>
                <w:sz w:val="24"/>
                <w:szCs w:val="24"/>
              </w:rPr>
              <w:t xml:space="preserve">, </w:t>
            </w:r>
            <w:proofErr w:type="spellStart"/>
            <w:r w:rsidR="007A7D86" w:rsidRPr="0049024C">
              <w:rPr>
                <w:rFonts w:ascii="Times New Roman" w:hAnsi="Times New Roman" w:cs="Times New Roman"/>
                <w:sz w:val="24"/>
                <w:szCs w:val="24"/>
              </w:rPr>
              <w:t>L</w:t>
            </w:r>
            <w:r w:rsidR="000E0BA6" w:rsidRPr="0049024C">
              <w:rPr>
                <w:rFonts w:ascii="Times New Roman" w:hAnsi="Times New Roman" w:cs="Times New Roman"/>
                <w:sz w:val="24"/>
                <w:szCs w:val="24"/>
              </w:rPr>
              <w:t>oznica</w:t>
            </w:r>
            <w:proofErr w:type="spellEnd"/>
            <w:r w:rsidR="000E0BA6" w:rsidRPr="0049024C">
              <w:rPr>
                <w:rFonts w:ascii="Times New Roman" w:hAnsi="Times New Roman" w:cs="Times New Roman"/>
                <w:sz w:val="24"/>
                <w:szCs w:val="24"/>
              </w:rPr>
              <w:t xml:space="preserve">, </w:t>
            </w:r>
            <w:proofErr w:type="spellStart"/>
            <w:r w:rsidR="000E0BA6" w:rsidRPr="0049024C">
              <w:rPr>
                <w:rFonts w:ascii="Times New Roman" w:hAnsi="Times New Roman" w:cs="Times New Roman"/>
                <w:sz w:val="24"/>
                <w:szCs w:val="24"/>
              </w:rPr>
              <w:t>Brus</w:t>
            </w:r>
            <w:proofErr w:type="spellEnd"/>
            <w:r w:rsidR="000E0BA6" w:rsidRPr="0049024C">
              <w:rPr>
                <w:rFonts w:ascii="Times New Roman" w:hAnsi="Times New Roman" w:cs="Times New Roman"/>
                <w:sz w:val="24"/>
                <w:szCs w:val="24"/>
              </w:rPr>
              <w:t xml:space="preserve">, </w:t>
            </w:r>
            <w:proofErr w:type="spellStart"/>
            <w:r w:rsidR="000E0BA6" w:rsidRPr="0049024C">
              <w:rPr>
                <w:rFonts w:ascii="Times New Roman" w:hAnsi="Times New Roman" w:cs="Times New Roman"/>
                <w:sz w:val="24"/>
                <w:szCs w:val="24"/>
              </w:rPr>
              <w:t>Kladovo</w:t>
            </w:r>
            <w:proofErr w:type="spellEnd"/>
            <w:r w:rsidR="000E0BA6" w:rsidRPr="0049024C">
              <w:rPr>
                <w:rFonts w:ascii="Times New Roman" w:hAnsi="Times New Roman" w:cs="Times New Roman"/>
                <w:sz w:val="24"/>
                <w:szCs w:val="24"/>
              </w:rPr>
              <w:t xml:space="preserve">, </w:t>
            </w:r>
            <w:proofErr w:type="spellStart"/>
            <w:r w:rsidR="000E0BA6" w:rsidRPr="0049024C">
              <w:rPr>
                <w:rFonts w:ascii="Times New Roman" w:hAnsi="Times New Roman" w:cs="Times New Roman"/>
                <w:sz w:val="24"/>
                <w:szCs w:val="24"/>
              </w:rPr>
              <w:t>Negotin</w:t>
            </w:r>
            <w:proofErr w:type="spellEnd"/>
            <w:r w:rsidR="000E0BA6" w:rsidRPr="0049024C">
              <w:rPr>
                <w:rFonts w:ascii="Times New Roman" w:hAnsi="Times New Roman" w:cs="Times New Roman"/>
                <w:sz w:val="24"/>
                <w:szCs w:val="24"/>
              </w:rPr>
              <w:t xml:space="preserve"> and </w:t>
            </w:r>
            <w:proofErr w:type="spellStart"/>
            <w:r w:rsidR="007A7D86" w:rsidRPr="0049024C">
              <w:rPr>
                <w:rFonts w:ascii="Times New Roman" w:hAnsi="Times New Roman" w:cs="Times New Roman"/>
                <w:sz w:val="24"/>
                <w:szCs w:val="24"/>
              </w:rPr>
              <w:t>Zrenjanin</w:t>
            </w:r>
            <w:proofErr w:type="spellEnd"/>
            <w:r w:rsidR="007A7D86" w:rsidRPr="0049024C">
              <w:rPr>
                <w:rFonts w:ascii="Times New Roman" w:hAnsi="Times New Roman" w:cs="Times New Roman"/>
                <w:sz w:val="24"/>
                <w:szCs w:val="24"/>
              </w:rPr>
              <w:t>.</w:t>
            </w:r>
          </w:p>
        </w:tc>
      </w:tr>
      <w:tr w:rsidR="00973CF2" w:rsidRPr="00034785" w:rsidTr="00445788">
        <w:tc>
          <w:tcPr>
            <w:tcW w:w="301" w:type="pct"/>
            <w:shd w:val="clear" w:color="auto" w:fill="FFFFFF" w:themeFill="background1"/>
            <w:tcMar>
              <w:top w:w="0" w:type="dxa"/>
              <w:left w:w="108" w:type="dxa"/>
              <w:bottom w:w="0" w:type="dxa"/>
              <w:right w:w="108" w:type="dxa"/>
            </w:tcMar>
          </w:tcPr>
          <w:p w:rsidR="00973CF2" w:rsidRPr="00034785" w:rsidRDefault="00973CF2" w:rsidP="00034785">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973CF2" w:rsidRPr="00034785" w:rsidRDefault="00973CF2" w:rsidP="00034785">
            <w:pPr>
              <w:spacing w:after="0" w:line="240" w:lineRule="auto"/>
              <w:jc w:val="both"/>
              <w:rPr>
                <w:rFonts w:ascii="Times New Roman" w:hAnsi="Times New Roman" w:cs="Times New Roman"/>
                <w:sz w:val="16"/>
                <w:szCs w:val="16"/>
              </w:rPr>
            </w:pPr>
          </w:p>
        </w:tc>
      </w:tr>
      <w:tr w:rsidR="000E0BA6" w:rsidRPr="0049024C" w:rsidTr="00445788">
        <w:trPr>
          <w:gridAfter w:val="1"/>
          <w:wAfter w:w="15" w:type="pct"/>
          <w:trHeight w:val="745"/>
        </w:trPr>
        <w:tc>
          <w:tcPr>
            <w:tcW w:w="301" w:type="pct"/>
            <w:shd w:val="clear" w:color="auto" w:fill="FFFFFF"/>
            <w:tcMar>
              <w:top w:w="0" w:type="dxa"/>
              <w:left w:w="108" w:type="dxa"/>
              <w:bottom w:w="0" w:type="dxa"/>
              <w:right w:w="108" w:type="dxa"/>
            </w:tcMar>
          </w:tcPr>
          <w:p w:rsidR="000E0BA6" w:rsidRPr="0049024C" w:rsidRDefault="000E0BA6"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67" w:type="pct"/>
            <w:shd w:val="clear" w:color="auto" w:fill="FFFFFF"/>
            <w:tcMar>
              <w:top w:w="0" w:type="dxa"/>
              <w:left w:w="108" w:type="dxa"/>
              <w:bottom w:w="0" w:type="dxa"/>
              <w:right w:w="108" w:type="dxa"/>
            </w:tcMar>
          </w:tcPr>
          <w:p w:rsidR="000E0BA6" w:rsidRPr="0049024C" w:rsidRDefault="000E0BA6"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Number of lots, if contract is divided in lots:</w:t>
            </w:r>
          </w:p>
        </w:tc>
        <w:tc>
          <w:tcPr>
            <w:tcW w:w="2917" w:type="pct"/>
            <w:gridSpan w:val="2"/>
            <w:shd w:val="clear" w:color="auto" w:fill="C6D9F1"/>
            <w:tcMar>
              <w:top w:w="0" w:type="dxa"/>
              <w:left w:w="108" w:type="dxa"/>
              <w:bottom w:w="0" w:type="dxa"/>
              <w:right w:w="108" w:type="dxa"/>
            </w:tcMar>
          </w:tcPr>
          <w:p w:rsidR="000E0BA6" w:rsidRDefault="003B2BF8" w:rsidP="00193015">
            <w:pPr>
              <w:spacing w:before="120" w:after="120" w:line="240" w:lineRule="auto"/>
              <w:rPr>
                <w:rFonts w:ascii="Times New Roman" w:hAnsi="Times New Roman" w:cs="Times New Roman"/>
                <w:sz w:val="24"/>
                <w:szCs w:val="24"/>
                <w:lang w:val="sr-Latn-CS"/>
              </w:rPr>
            </w:pPr>
            <w:r w:rsidRPr="0049024C">
              <w:rPr>
                <w:rFonts w:ascii="Times New Roman" w:hAnsi="Times New Roman" w:cs="Times New Roman"/>
                <w:sz w:val="24"/>
                <w:szCs w:val="24"/>
              </w:rPr>
              <w:t>Lot 1:</w:t>
            </w:r>
            <w:r>
              <w:rPr>
                <w:rFonts w:ascii="Times New Roman" w:hAnsi="Times New Roman" w:cs="Times New Roman"/>
                <w:sz w:val="24"/>
                <w:szCs w:val="24"/>
              </w:rPr>
              <w:t xml:space="preserve"> </w:t>
            </w:r>
            <w:r>
              <w:rPr>
                <w:rFonts w:ascii="Times New Roman" w:hAnsi="Times New Roman" w:cs="Times New Roman"/>
                <w:sz w:val="24"/>
                <w:szCs w:val="24"/>
                <w:lang w:val="sr-Latn-CS"/>
              </w:rPr>
              <w:t>Arilje, Bor, Vrnjačka Banja, Uzice, Loznica, Brus, Kladovo i Negotin</w:t>
            </w:r>
          </w:p>
          <w:p w:rsidR="003B2BF8" w:rsidRPr="0049024C" w:rsidRDefault="003B2BF8"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Lot 2:</w:t>
            </w:r>
            <w:r>
              <w:rPr>
                <w:rFonts w:ascii="Times New Roman" w:hAnsi="Times New Roman" w:cs="Times New Roman"/>
                <w:sz w:val="24"/>
                <w:szCs w:val="24"/>
              </w:rPr>
              <w:t xml:space="preserve"> </w:t>
            </w:r>
            <w:r>
              <w:rPr>
                <w:rFonts w:ascii="Times New Roman" w:hAnsi="Times New Roman" w:cs="Times New Roman"/>
                <w:sz w:val="24"/>
                <w:szCs w:val="24"/>
                <w:lang w:val="sr-Latn-CS"/>
              </w:rPr>
              <w:t>Odzaci, Sombor, Stara Pazova, Temerin i Zrenjanin</w:t>
            </w:r>
          </w:p>
        </w:tc>
      </w:tr>
      <w:tr w:rsidR="003B2BF8" w:rsidRPr="00034785" w:rsidTr="00445788">
        <w:tc>
          <w:tcPr>
            <w:tcW w:w="301" w:type="pct"/>
            <w:shd w:val="clear" w:color="auto" w:fill="FFFFFF" w:themeFill="background1"/>
            <w:tcMar>
              <w:top w:w="0" w:type="dxa"/>
              <w:left w:w="108" w:type="dxa"/>
              <w:bottom w:w="0" w:type="dxa"/>
              <w:right w:w="108" w:type="dxa"/>
            </w:tcMar>
          </w:tcPr>
          <w:p w:rsidR="003B2BF8" w:rsidRPr="00034785" w:rsidRDefault="003B2BF8" w:rsidP="00034785">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3B2BF8" w:rsidRPr="00034785" w:rsidRDefault="003B2BF8" w:rsidP="00034785">
            <w:pPr>
              <w:spacing w:after="0" w:line="240" w:lineRule="auto"/>
              <w:jc w:val="both"/>
              <w:rPr>
                <w:rFonts w:ascii="Times New Roman" w:hAnsi="Times New Roman" w:cs="Times New Roman"/>
                <w:sz w:val="16"/>
                <w:szCs w:val="16"/>
              </w:rPr>
            </w:pPr>
          </w:p>
        </w:tc>
      </w:tr>
      <w:tr w:rsidR="000E0BA6" w:rsidRPr="0049024C" w:rsidTr="00445788">
        <w:trPr>
          <w:trHeight w:val="745"/>
        </w:trPr>
        <w:tc>
          <w:tcPr>
            <w:tcW w:w="301" w:type="pct"/>
            <w:shd w:val="clear" w:color="auto" w:fill="FFFFFF"/>
            <w:tcMar>
              <w:top w:w="0" w:type="dxa"/>
              <w:left w:w="108" w:type="dxa"/>
              <w:bottom w:w="0" w:type="dxa"/>
              <w:right w:w="108" w:type="dxa"/>
            </w:tcMar>
          </w:tcPr>
          <w:p w:rsidR="000E0BA6" w:rsidRPr="0049024C" w:rsidRDefault="000E0BA6"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0E0BA6" w:rsidRPr="0049024C" w:rsidRDefault="000E0BA6"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Maximum contract budget:</w:t>
            </w:r>
          </w:p>
        </w:tc>
        <w:tc>
          <w:tcPr>
            <w:tcW w:w="2917" w:type="pct"/>
            <w:gridSpan w:val="2"/>
            <w:shd w:val="clear" w:color="auto" w:fill="C6D9F1"/>
            <w:tcMar>
              <w:top w:w="0" w:type="dxa"/>
              <w:left w:w="108" w:type="dxa"/>
              <w:bottom w:w="0" w:type="dxa"/>
              <w:right w:w="108" w:type="dxa"/>
            </w:tcMar>
          </w:tcPr>
          <w:p w:rsidR="000E0BA6" w:rsidRPr="00723EE1" w:rsidRDefault="003B2BF8" w:rsidP="00193015">
            <w:pPr>
              <w:spacing w:before="120" w:after="120" w:line="240" w:lineRule="auto"/>
              <w:rPr>
                <w:rFonts w:ascii="Times New Roman" w:hAnsi="Times New Roman" w:cs="Times New Roman"/>
                <w:sz w:val="24"/>
                <w:szCs w:val="24"/>
                <w:lang w:val="sr-Latn-CS"/>
              </w:rPr>
            </w:pPr>
            <w:r w:rsidRPr="0049024C">
              <w:rPr>
                <w:rFonts w:ascii="Times New Roman" w:hAnsi="Times New Roman" w:cs="Times New Roman"/>
                <w:sz w:val="24"/>
                <w:szCs w:val="24"/>
              </w:rPr>
              <w:t xml:space="preserve">Maximum contract budget </w:t>
            </w:r>
            <w:r>
              <w:rPr>
                <w:rFonts w:ascii="Times New Roman" w:hAnsi="Times New Roman" w:cs="Times New Roman"/>
                <w:sz w:val="24"/>
                <w:szCs w:val="24"/>
              </w:rPr>
              <w:t xml:space="preserve">for Lot 1: </w:t>
            </w:r>
            <w:r w:rsidR="00723EE1" w:rsidRPr="00EB2351">
              <w:rPr>
                <w:rFonts w:ascii="Times New Roman" w:hAnsi="Times New Roman" w:cs="Times New Roman"/>
                <w:sz w:val="24"/>
                <w:szCs w:val="24"/>
                <w:lang w:val="sr-Latn-CS"/>
              </w:rPr>
              <w:t>3</w:t>
            </w:r>
            <w:r w:rsidR="00723EE1">
              <w:rPr>
                <w:rFonts w:ascii="Times New Roman" w:hAnsi="Times New Roman" w:cs="Times New Roman"/>
                <w:sz w:val="24"/>
                <w:szCs w:val="24"/>
                <w:lang w:val="sr-Latn-CS"/>
              </w:rPr>
              <w:t>.</w:t>
            </w:r>
            <w:r w:rsidR="00723EE1" w:rsidRPr="00EB2351">
              <w:rPr>
                <w:rFonts w:ascii="Times New Roman" w:hAnsi="Times New Roman" w:cs="Times New Roman"/>
                <w:sz w:val="24"/>
                <w:szCs w:val="24"/>
                <w:lang w:val="sr-Latn-CS"/>
              </w:rPr>
              <w:t>264</w:t>
            </w:r>
            <w:r w:rsidR="00723EE1">
              <w:rPr>
                <w:rFonts w:ascii="Times New Roman" w:hAnsi="Times New Roman" w:cs="Times New Roman"/>
                <w:sz w:val="24"/>
                <w:szCs w:val="24"/>
                <w:lang w:val="sr-Latn-CS"/>
              </w:rPr>
              <w:t>.</w:t>
            </w:r>
            <w:r w:rsidR="00723EE1" w:rsidRPr="00EB2351">
              <w:rPr>
                <w:rFonts w:ascii="Times New Roman" w:hAnsi="Times New Roman" w:cs="Times New Roman"/>
                <w:sz w:val="24"/>
                <w:szCs w:val="24"/>
                <w:lang w:val="sr-Latn-CS"/>
              </w:rPr>
              <w:t>377,62</w:t>
            </w:r>
            <w:r w:rsidR="00723EE1">
              <w:rPr>
                <w:rFonts w:ascii="Times New Roman" w:hAnsi="Times New Roman" w:cs="Times New Roman"/>
                <w:sz w:val="24"/>
                <w:szCs w:val="24"/>
                <w:lang w:val="sr-Latn-CS"/>
              </w:rPr>
              <w:t xml:space="preserve"> EUR</w:t>
            </w:r>
            <w:r>
              <w:rPr>
                <w:rFonts w:ascii="Times New Roman" w:hAnsi="Times New Roman" w:cs="Times New Roman"/>
                <w:sz w:val="24"/>
                <w:szCs w:val="24"/>
                <w:lang w:val="sr-Latn-CS"/>
              </w:rPr>
              <w:t xml:space="preserve"> without VAT</w:t>
            </w:r>
          </w:p>
          <w:p w:rsidR="000E0BA6" w:rsidRDefault="003B2BF8" w:rsidP="00193015">
            <w:pPr>
              <w:spacing w:before="120" w:after="120" w:line="240" w:lineRule="auto"/>
              <w:rPr>
                <w:rFonts w:ascii="Times New Roman" w:hAnsi="Times New Roman" w:cs="Times New Roman"/>
                <w:sz w:val="24"/>
                <w:szCs w:val="24"/>
                <w:lang w:val="sr-Latn-CS"/>
              </w:rPr>
            </w:pPr>
            <w:r w:rsidRPr="0049024C">
              <w:rPr>
                <w:rFonts w:ascii="Times New Roman" w:hAnsi="Times New Roman" w:cs="Times New Roman"/>
                <w:sz w:val="24"/>
                <w:szCs w:val="24"/>
              </w:rPr>
              <w:t xml:space="preserve">Maximum contract budget </w:t>
            </w:r>
            <w:r>
              <w:rPr>
                <w:rFonts w:ascii="Times New Roman" w:hAnsi="Times New Roman" w:cs="Times New Roman"/>
                <w:sz w:val="24"/>
                <w:szCs w:val="24"/>
              </w:rPr>
              <w:t>for Lot 2</w:t>
            </w:r>
            <w:r w:rsidR="00723EE1">
              <w:rPr>
                <w:rFonts w:ascii="Times New Roman" w:hAnsi="Times New Roman" w:cs="Times New Roman"/>
                <w:sz w:val="24"/>
                <w:szCs w:val="24"/>
                <w:lang w:val="sr-Latn-CS"/>
              </w:rPr>
              <w:t xml:space="preserve">: </w:t>
            </w:r>
            <w:r w:rsidR="00723EE1" w:rsidRPr="00EB2351">
              <w:rPr>
                <w:rFonts w:ascii="Times New Roman" w:hAnsi="Times New Roman" w:cs="Times New Roman"/>
                <w:sz w:val="24"/>
                <w:szCs w:val="24"/>
                <w:lang w:val="sr-Latn-CS"/>
              </w:rPr>
              <w:t>2</w:t>
            </w:r>
            <w:r w:rsidR="00723EE1">
              <w:rPr>
                <w:rFonts w:ascii="Times New Roman" w:hAnsi="Times New Roman" w:cs="Times New Roman"/>
                <w:sz w:val="24"/>
                <w:szCs w:val="24"/>
                <w:lang w:val="sr-Latn-CS"/>
              </w:rPr>
              <w:t>.</w:t>
            </w:r>
            <w:r w:rsidR="00723EE1" w:rsidRPr="00EB2351">
              <w:rPr>
                <w:rFonts w:ascii="Times New Roman" w:hAnsi="Times New Roman" w:cs="Times New Roman"/>
                <w:sz w:val="24"/>
                <w:szCs w:val="24"/>
                <w:lang w:val="sr-Latn-CS"/>
              </w:rPr>
              <w:t>801</w:t>
            </w:r>
            <w:r w:rsidR="00723EE1">
              <w:rPr>
                <w:rFonts w:ascii="Times New Roman" w:hAnsi="Times New Roman" w:cs="Times New Roman"/>
                <w:sz w:val="24"/>
                <w:szCs w:val="24"/>
                <w:lang w:val="sr-Latn-CS"/>
              </w:rPr>
              <w:t>.</w:t>
            </w:r>
            <w:r w:rsidR="00723EE1" w:rsidRPr="00EB2351">
              <w:rPr>
                <w:rFonts w:ascii="Times New Roman" w:hAnsi="Times New Roman" w:cs="Times New Roman"/>
                <w:sz w:val="24"/>
                <w:szCs w:val="24"/>
                <w:lang w:val="sr-Latn-CS"/>
              </w:rPr>
              <w:t>524,92</w:t>
            </w:r>
            <w:r w:rsidR="00723EE1">
              <w:rPr>
                <w:rFonts w:ascii="Times New Roman" w:hAnsi="Times New Roman" w:cs="Times New Roman"/>
                <w:sz w:val="24"/>
                <w:szCs w:val="24"/>
                <w:lang w:val="sr-Latn-CS"/>
              </w:rPr>
              <w:t xml:space="preserve"> EUR</w:t>
            </w:r>
            <w:r>
              <w:rPr>
                <w:rFonts w:ascii="Times New Roman" w:hAnsi="Times New Roman" w:cs="Times New Roman"/>
                <w:sz w:val="24"/>
                <w:szCs w:val="24"/>
                <w:lang w:val="sr-Latn-CS"/>
              </w:rPr>
              <w:t xml:space="preserve"> without VAT</w:t>
            </w:r>
          </w:p>
          <w:p w:rsidR="00C135D5" w:rsidRPr="0049024C" w:rsidRDefault="00C135D5" w:rsidP="00193015">
            <w:pPr>
              <w:spacing w:before="120" w:after="120" w:line="240" w:lineRule="auto"/>
              <w:rPr>
                <w:rFonts w:ascii="Times New Roman" w:hAnsi="Times New Roman" w:cs="Times New Roman"/>
                <w:sz w:val="24"/>
                <w:szCs w:val="24"/>
              </w:rPr>
            </w:pPr>
            <w:r>
              <w:rPr>
                <w:rFonts w:ascii="Times New Roman" w:hAnsi="Times New Roman" w:cs="Times New Roman"/>
                <w:sz w:val="24"/>
                <w:szCs w:val="24"/>
                <w:lang w:val="sr-Latn-CS"/>
              </w:rPr>
              <w:t>For the TOTAL: 6.065.902,54 EUR</w:t>
            </w:r>
          </w:p>
        </w:tc>
      </w:tr>
      <w:tr w:rsidR="00034785" w:rsidRPr="00034785" w:rsidTr="00445788">
        <w:tc>
          <w:tcPr>
            <w:tcW w:w="301" w:type="pct"/>
            <w:shd w:val="clear" w:color="auto" w:fill="FFFFFF" w:themeFill="background1"/>
            <w:tcMar>
              <w:top w:w="0" w:type="dxa"/>
              <w:left w:w="108" w:type="dxa"/>
              <w:bottom w:w="0" w:type="dxa"/>
              <w:right w:w="108" w:type="dxa"/>
            </w:tcMar>
          </w:tcPr>
          <w:p w:rsidR="00034785" w:rsidRPr="00034785" w:rsidRDefault="00034785" w:rsidP="00D5348C">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034785" w:rsidRPr="00034785" w:rsidRDefault="00034785" w:rsidP="00D5348C">
            <w:pPr>
              <w:spacing w:after="0" w:line="240" w:lineRule="auto"/>
              <w:jc w:val="both"/>
              <w:rPr>
                <w:rFonts w:ascii="Times New Roman" w:hAnsi="Times New Roman" w:cs="Times New Roman"/>
                <w:sz w:val="16"/>
                <w:szCs w:val="16"/>
              </w:rPr>
            </w:pPr>
          </w:p>
        </w:tc>
      </w:tr>
      <w:tr w:rsidR="002D6E25" w:rsidRPr="0049024C" w:rsidTr="00445788">
        <w:tc>
          <w:tcPr>
            <w:tcW w:w="301" w:type="pct"/>
            <w:shd w:val="clear" w:color="auto" w:fill="FFFFFF"/>
            <w:tcMar>
              <w:top w:w="0" w:type="dxa"/>
              <w:left w:w="108" w:type="dxa"/>
              <w:bottom w:w="0" w:type="dxa"/>
              <w:right w:w="108" w:type="dxa"/>
            </w:tcMar>
          </w:tcPr>
          <w:p w:rsidR="002D6E25" w:rsidRPr="0049024C" w:rsidRDefault="002D6E25"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FFFFFF"/>
            <w:tcMar>
              <w:top w:w="0" w:type="dxa"/>
              <w:left w:w="108" w:type="dxa"/>
              <w:bottom w:w="0" w:type="dxa"/>
              <w:right w:w="108" w:type="dxa"/>
            </w:tcMar>
          </w:tcPr>
          <w:p w:rsidR="00083F35" w:rsidRPr="0049024C" w:rsidRDefault="000E0BA6"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Duration and type of framework contract (single supplier or multi-supplier framework contract) if framework contract is to be awarded:</w:t>
            </w:r>
          </w:p>
        </w:tc>
      </w:tr>
      <w:tr w:rsidR="002D6E25" w:rsidRPr="0049024C" w:rsidTr="00445788">
        <w:trPr>
          <w:trHeight w:val="508"/>
        </w:trPr>
        <w:tc>
          <w:tcPr>
            <w:tcW w:w="301" w:type="pct"/>
            <w:shd w:val="clear" w:color="auto" w:fill="FFFFFF"/>
            <w:tcMar>
              <w:top w:w="0" w:type="dxa"/>
              <w:left w:w="108" w:type="dxa"/>
              <w:bottom w:w="0" w:type="dxa"/>
              <w:right w:w="108" w:type="dxa"/>
            </w:tcMar>
          </w:tcPr>
          <w:p w:rsidR="002D6E25" w:rsidRPr="0049024C" w:rsidRDefault="002D6E25" w:rsidP="00193015">
            <w:pPr>
              <w:pStyle w:val="ListParagraph"/>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C6D9F1"/>
            <w:tcMar>
              <w:top w:w="0" w:type="dxa"/>
              <w:left w:w="108" w:type="dxa"/>
              <w:bottom w:w="0" w:type="dxa"/>
              <w:right w:w="108" w:type="dxa"/>
            </w:tcMar>
          </w:tcPr>
          <w:p w:rsidR="002D6E25" w:rsidRPr="0049024C" w:rsidRDefault="000E0BA6"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Not applicable</w:t>
            </w:r>
          </w:p>
        </w:tc>
      </w:tr>
      <w:tr w:rsidR="00034785" w:rsidRPr="00034785" w:rsidTr="00445788">
        <w:tc>
          <w:tcPr>
            <w:tcW w:w="301" w:type="pct"/>
            <w:shd w:val="clear" w:color="auto" w:fill="FFFFFF" w:themeFill="background1"/>
            <w:tcMar>
              <w:top w:w="0" w:type="dxa"/>
              <w:left w:w="108" w:type="dxa"/>
              <w:bottom w:w="0" w:type="dxa"/>
              <w:right w:w="108" w:type="dxa"/>
            </w:tcMar>
          </w:tcPr>
          <w:p w:rsidR="00034785" w:rsidRPr="00034785" w:rsidRDefault="00034785" w:rsidP="00D5348C">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034785" w:rsidRPr="00034785" w:rsidRDefault="00034785" w:rsidP="00D5348C">
            <w:pPr>
              <w:spacing w:after="0" w:line="240" w:lineRule="auto"/>
              <w:jc w:val="both"/>
              <w:rPr>
                <w:rFonts w:ascii="Times New Roman" w:hAnsi="Times New Roman" w:cs="Times New Roman"/>
                <w:sz w:val="16"/>
                <w:szCs w:val="16"/>
              </w:rPr>
            </w:pPr>
          </w:p>
        </w:tc>
      </w:tr>
      <w:tr w:rsidR="000E0BA6" w:rsidRPr="0049024C" w:rsidTr="00445788">
        <w:trPr>
          <w:trHeight w:val="745"/>
        </w:trPr>
        <w:tc>
          <w:tcPr>
            <w:tcW w:w="301" w:type="pct"/>
            <w:shd w:val="clear" w:color="auto" w:fill="FFFFFF"/>
            <w:tcMar>
              <w:top w:w="0" w:type="dxa"/>
              <w:left w:w="108" w:type="dxa"/>
              <w:bottom w:w="0" w:type="dxa"/>
              <w:right w:w="108" w:type="dxa"/>
            </w:tcMar>
          </w:tcPr>
          <w:p w:rsidR="000E0BA6" w:rsidRPr="0049024C" w:rsidRDefault="000E0BA6"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FFFFFF"/>
            <w:tcMar>
              <w:top w:w="0" w:type="dxa"/>
              <w:left w:w="108" w:type="dxa"/>
              <w:bottom w:w="0" w:type="dxa"/>
              <w:right w:w="108" w:type="dxa"/>
            </w:tcMar>
          </w:tcPr>
          <w:p w:rsidR="000E0BA6" w:rsidRPr="0049024C" w:rsidRDefault="000E0BA6"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Eligibility criteria:</w:t>
            </w:r>
          </w:p>
        </w:tc>
      </w:tr>
      <w:tr w:rsidR="002D6E25" w:rsidRPr="0049024C" w:rsidTr="00445788">
        <w:trPr>
          <w:trHeight w:val="1720"/>
        </w:trPr>
        <w:tc>
          <w:tcPr>
            <w:tcW w:w="301" w:type="pct"/>
            <w:shd w:val="clear" w:color="auto" w:fill="FFFFFF"/>
            <w:tcMar>
              <w:top w:w="0" w:type="dxa"/>
              <w:left w:w="108" w:type="dxa"/>
              <w:bottom w:w="0" w:type="dxa"/>
              <w:right w:w="108" w:type="dxa"/>
            </w:tcMar>
          </w:tcPr>
          <w:p w:rsidR="002D6E25" w:rsidRPr="0049024C" w:rsidRDefault="002D6E25" w:rsidP="00193015">
            <w:pPr>
              <w:pStyle w:val="ListParagraph"/>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C6D9F1"/>
            <w:tcMar>
              <w:top w:w="0" w:type="dxa"/>
              <w:left w:w="108" w:type="dxa"/>
              <w:bottom w:w="0" w:type="dxa"/>
              <w:right w:w="108" w:type="dxa"/>
            </w:tcMar>
          </w:tcPr>
          <w:p w:rsidR="000E0BA6" w:rsidRPr="0049024C" w:rsidRDefault="000E0BA6"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 xml:space="preserve">Participation is open to all legal persons participating either individually or in a group (joint venture/consortium) of tenderers, who </w:t>
            </w:r>
            <w:r w:rsidR="0049024C" w:rsidRPr="0049024C">
              <w:rPr>
                <w:rFonts w:ascii="Times New Roman" w:hAnsi="Times New Roman" w:cs="Times New Roman"/>
                <w:sz w:val="24"/>
                <w:szCs w:val="24"/>
              </w:rPr>
              <w:t>fulfil</w:t>
            </w:r>
            <w:r w:rsidRPr="0049024C">
              <w:rPr>
                <w:rFonts w:ascii="Times New Roman" w:hAnsi="Times New Roman" w:cs="Times New Roman"/>
                <w:sz w:val="24"/>
                <w:szCs w:val="24"/>
              </w:rPr>
              <w:t xml:space="preserve"> the following criteria as stated in the </w:t>
            </w:r>
            <w:r w:rsidRPr="0049024C">
              <w:rPr>
                <w:rFonts w:ascii="Times New Roman" w:hAnsi="Times New Roman" w:cs="Times New Roman"/>
                <w:b/>
                <w:i/>
                <w:sz w:val="24"/>
                <w:szCs w:val="24"/>
              </w:rPr>
              <w:t>Volume 1, Instructions to Tenderers, General part, Clause 3: Participation</w:t>
            </w:r>
            <w:r w:rsidRPr="0049024C">
              <w:rPr>
                <w:rFonts w:ascii="Times New Roman" w:hAnsi="Times New Roman" w:cs="Times New Roman"/>
                <w:sz w:val="24"/>
                <w:szCs w:val="24"/>
              </w:rPr>
              <w:t xml:space="preserve"> and </w:t>
            </w:r>
            <w:r w:rsidRPr="0049024C">
              <w:rPr>
                <w:rFonts w:ascii="Times New Roman" w:hAnsi="Times New Roman" w:cs="Times New Roman"/>
                <w:b/>
                <w:i/>
                <w:sz w:val="24"/>
                <w:szCs w:val="24"/>
              </w:rPr>
              <w:t>CEB Guidelines for procurement of supplies, works and services, Section 3.3: Eligibility to participate in tenders and provide supplies, works and services</w:t>
            </w:r>
          </w:p>
          <w:p w:rsidR="002D6E25" w:rsidRPr="0049024C" w:rsidRDefault="00F00575" w:rsidP="00193015">
            <w:pPr>
              <w:spacing w:before="120" w:after="120" w:line="240" w:lineRule="auto"/>
              <w:jc w:val="both"/>
              <w:rPr>
                <w:rFonts w:ascii="Times New Roman" w:hAnsi="Times New Roman" w:cs="Times New Roman"/>
                <w:color w:val="0000FF" w:themeColor="hyperlink"/>
                <w:sz w:val="24"/>
                <w:szCs w:val="24"/>
                <w:u w:val="single"/>
              </w:rPr>
            </w:pPr>
            <w:hyperlink r:id="rId10" w:history="1">
              <w:r w:rsidR="0042053E" w:rsidRPr="0049024C">
                <w:rPr>
                  <w:rStyle w:val="Hyperlink"/>
                  <w:rFonts w:ascii="Times New Roman" w:hAnsi="Times New Roman" w:cs="Times New Roman"/>
                  <w:sz w:val="24"/>
                  <w:szCs w:val="24"/>
                </w:rPr>
                <w:t>http://www.coebank.org/en/about/policies-and-guidelines/projects-and-loans-policies-and-guidelines/</w:t>
              </w:r>
            </w:hyperlink>
            <w:r w:rsidR="0042053E" w:rsidRPr="0049024C">
              <w:rPr>
                <w:rFonts w:ascii="Times New Roman" w:hAnsi="Times New Roman" w:cs="Times New Roman"/>
                <w:sz w:val="24"/>
                <w:szCs w:val="24"/>
              </w:rPr>
              <w:t xml:space="preserve"> </w:t>
            </w:r>
          </w:p>
        </w:tc>
      </w:tr>
      <w:tr w:rsidR="00034785" w:rsidRPr="00034785" w:rsidTr="00445788">
        <w:tc>
          <w:tcPr>
            <w:tcW w:w="301" w:type="pct"/>
            <w:shd w:val="clear" w:color="auto" w:fill="FFFFFF" w:themeFill="background1"/>
            <w:tcMar>
              <w:top w:w="0" w:type="dxa"/>
              <w:left w:w="108" w:type="dxa"/>
              <w:bottom w:w="0" w:type="dxa"/>
              <w:right w:w="108" w:type="dxa"/>
            </w:tcMar>
          </w:tcPr>
          <w:p w:rsidR="00034785" w:rsidRPr="00034785" w:rsidRDefault="00034785" w:rsidP="00D5348C">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034785" w:rsidRPr="00034785" w:rsidRDefault="00034785" w:rsidP="00D5348C">
            <w:pPr>
              <w:spacing w:after="0" w:line="240" w:lineRule="auto"/>
              <w:jc w:val="both"/>
              <w:rPr>
                <w:rFonts w:ascii="Times New Roman" w:hAnsi="Times New Roman" w:cs="Times New Roman"/>
                <w:sz w:val="16"/>
                <w:szCs w:val="16"/>
              </w:rPr>
            </w:pPr>
          </w:p>
        </w:tc>
      </w:tr>
      <w:tr w:rsidR="005638AF" w:rsidRPr="0049024C" w:rsidTr="00445788">
        <w:trPr>
          <w:trHeight w:val="745"/>
        </w:trPr>
        <w:tc>
          <w:tcPr>
            <w:tcW w:w="301" w:type="pct"/>
            <w:shd w:val="clear" w:color="auto" w:fill="FFFFFF"/>
            <w:tcMar>
              <w:top w:w="0" w:type="dxa"/>
              <w:left w:w="108" w:type="dxa"/>
              <w:bottom w:w="0" w:type="dxa"/>
              <w:right w:w="108" w:type="dxa"/>
            </w:tcMar>
          </w:tcPr>
          <w:p w:rsidR="005638AF" w:rsidRPr="0049024C" w:rsidRDefault="005638AF"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FFFFFF"/>
            <w:tcMar>
              <w:top w:w="0" w:type="dxa"/>
              <w:left w:w="108" w:type="dxa"/>
              <w:bottom w:w="0" w:type="dxa"/>
              <w:right w:w="108" w:type="dxa"/>
            </w:tcMar>
          </w:tcPr>
          <w:p w:rsidR="005638AF" w:rsidRPr="0049024C" w:rsidRDefault="005638AF"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Selection criteria:</w:t>
            </w:r>
          </w:p>
        </w:tc>
      </w:tr>
      <w:tr w:rsidR="002D6E25" w:rsidRPr="0049024C" w:rsidTr="00445788">
        <w:trPr>
          <w:trHeight w:val="1720"/>
        </w:trPr>
        <w:tc>
          <w:tcPr>
            <w:tcW w:w="301" w:type="pct"/>
            <w:shd w:val="clear" w:color="auto" w:fill="FFFFFF"/>
            <w:tcMar>
              <w:top w:w="0" w:type="dxa"/>
              <w:left w:w="108" w:type="dxa"/>
              <w:bottom w:w="0" w:type="dxa"/>
              <w:right w:w="108" w:type="dxa"/>
            </w:tcMar>
          </w:tcPr>
          <w:p w:rsidR="002D6E25" w:rsidRPr="0049024C" w:rsidRDefault="002D6E25" w:rsidP="00193015">
            <w:pPr>
              <w:pStyle w:val="ListParagraph"/>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C6D9F1"/>
            <w:tcMar>
              <w:top w:w="0" w:type="dxa"/>
              <w:left w:w="108" w:type="dxa"/>
              <w:bottom w:w="0" w:type="dxa"/>
              <w:right w:w="108" w:type="dxa"/>
            </w:tcMar>
          </w:tcPr>
          <w:p w:rsidR="00D00F6B" w:rsidRPr="0049024C" w:rsidRDefault="005638AF"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The following selection criteria will be applied to tenderers. In the case of applications submitted by a joint venture/consortium, these selection criteria will be applied to the joint venture/consortium as a whole.</w:t>
            </w:r>
          </w:p>
          <w:p w:rsidR="00D00F6B" w:rsidRPr="00193015" w:rsidRDefault="005638AF" w:rsidP="00193015">
            <w:pPr>
              <w:pStyle w:val="ListParagraph"/>
              <w:numPr>
                <w:ilvl w:val="3"/>
                <w:numId w:val="3"/>
              </w:numPr>
              <w:tabs>
                <w:tab w:val="clear" w:pos="720"/>
              </w:tabs>
              <w:suppressAutoHyphens w:val="0"/>
              <w:spacing w:before="120" w:after="120" w:line="240" w:lineRule="auto"/>
              <w:ind w:left="364"/>
              <w:jc w:val="both"/>
              <w:rPr>
                <w:rFonts w:ascii="Times New Roman" w:hAnsi="Times New Roman" w:cs="Times New Roman"/>
                <w:b/>
                <w:sz w:val="24"/>
                <w:szCs w:val="24"/>
              </w:rPr>
            </w:pPr>
            <w:r w:rsidRPr="00193015">
              <w:rPr>
                <w:rFonts w:ascii="Times New Roman" w:hAnsi="Times New Roman" w:cs="Times New Roman"/>
                <w:b/>
                <w:sz w:val="24"/>
                <w:szCs w:val="24"/>
              </w:rPr>
              <w:t>Financial capacity</w:t>
            </w:r>
            <w:r w:rsidR="00D00F6B" w:rsidRPr="00193015">
              <w:rPr>
                <w:rFonts w:ascii="Times New Roman" w:hAnsi="Times New Roman" w:cs="Times New Roman"/>
                <w:b/>
                <w:sz w:val="24"/>
                <w:szCs w:val="24"/>
              </w:rPr>
              <w:t>:</w:t>
            </w:r>
          </w:p>
          <w:p w:rsidR="005638AF" w:rsidRPr="0049024C" w:rsidRDefault="005638AF" w:rsidP="00193015">
            <w:pPr>
              <w:numPr>
                <w:ilvl w:val="0"/>
                <w:numId w:val="38"/>
              </w:numPr>
              <w:tabs>
                <w:tab w:val="clear" w:pos="720"/>
              </w:tabs>
              <w:suppressAutoHyphens w:val="0"/>
              <w:spacing w:before="120" w:after="120" w:line="240" w:lineRule="auto"/>
              <w:ind w:left="364"/>
              <w:jc w:val="both"/>
              <w:rPr>
                <w:rFonts w:ascii="Times New Roman" w:hAnsi="Times New Roman" w:cs="Times New Roman"/>
                <w:b/>
                <w:sz w:val="28"/>
                <w:szCs w:val="28"/>
              </w:rPr>
            </w:pPr>
            <w:r w:rsidRPr="0049024C">
              <w:rPr>
                <w:rFonts w:ascii="Times New Roman" w:hAnsi="Times New Roman" w:cs="Times New Roman"/>
                <w:b/>
                <w:sz w:val="24"/>
                <w:szCs w:val="24"/>
              </w:rPr>
              <w:t xml:space="preserve">Bankruptcy and insolvency: </w:t>
            </w:r>
            <w:r w:rsidRPr="0049024C">
              <w:rPr>
                <w:rFonts w:ascii="Times New Roman" w:hAnsi="Times New Roman" w:cs="Times New Roman"/>
                <w:sz w:val="24"/>
                <w:szCs w:val="24"/>
              </w:rPr>
              <w:t xml:space="preserve">No bankruptcy or insolvency proceeding has been </w:t>
            </w:r>
            <w:r w:rsidRPr="0049024C">
              <w:rPr>
                <w:rFonts w:ascii="Times New Roman" w:hAnsi="Times New Roman" w:cs="Times New Roman"/>
                <w:sz w:val="24"/>
                <w:szCs w:val="24"/>
              </w:rPr>
              <w:lastRenderedPageBreak/>
              <w:t>imposed against the tenderer or any preliminary bankruptcy proceeding.</w:t>
            </w:r>
          </w:p>
          <w:p w:rsidR="005638AF" w:rsidRPr="0049024C" w:rsidRDefault="005638AF" w:rsidP="00193015">
            <w:pPr>
              <w:spacing w:before="120" w:after="120" w:line="240" w:lineRule="auto"/>
              <w:ind w:left="364"/>
              <w:rPr>
                <w:rFonts w:ascii="Times New Roman" w:hAnsi="Times New Roman" w:cs="Times New Roman"/>
                <w:sz w:val="24"/>
                <w:szCs w:val="24"/>
              </w:rPr>
            </w:pPr>
            <w:r w:rsidRPr="0049024C">
              <w:rPr>
                <w:rFonts w:ascii="Times New Roman" w:hAnsi="Times New Roman" w:cs="Times New Roman"/>
                <w:sz w:val="24"/>
                <w:szCs w:val="24"/>
              </w:rPr>
              <w:t>This provision shall pertain to all tenderers from joint venture/consortium and to all subcontractors.</w:t>
            </w:r>
          </w:p>
          <w:p w:rsidR="00A866D5" w:rsidRPr="0049024C" w:rsidRDefault="00A866D5" w:rsidP="00193015">
            <w:pPr>
              <w:numPr>
                <w:ilvl w:val="0"/>
                <w:numId w:val="38"/>
              </w:numPr>
              <w:tabs>
                <w:tab w:val="clear" w:pos="720"/>
              </w:tabs>
              <w:suppressAutoHyphens w:val="0"/>
              <w:spacing w:before="120" w:after="120" w:line="240" w:lineRule="auto"/>
              <w:ind w:left="364"/>
              <w:jc w:val="both"/>
              <w:rPr>
                <w:rFonts w:ascii="Times New Roman" w:hAnsi="Times New Roman" w:cs="Times New Roman"/>
                <w:b/>
                <w:sz w:val="24"/>
                <w:szCs w:val="24"/>
              </w:rPr>
            </w:pPr>
            <w:r w:rsidRPr="0049024C">
              <w:rPr>
                <w:rFonts w:ascii="Times New Roman" w:hAnsi="Times New Roman" w:cs="Times New Roman"/>
                <w:b/>
                <w:sz w:val="24"/>
                <w:szCs w:val="24"/>
              </w:rPr>
              <w:t xml:space="preserve">Liquidity: </w:t>
            </w:r>
            <w:r w:rsidRPr="0049024C">
              <w:rPr>
                <w:rFonts w:ascii="Times New Roman" w:hAnsi="Times New Roman" w:cs="Times New Roman"/>
                <w:sz w:val="24"/>
                <w:szCs w:val="24"/>
              </w:rPr>
              <w:t>The tenderer had not had any registered account blockades over the period of 12 (twelve) months prior to publication of the public call for tenders;</w:t>
            </w:r>
          </w:p>
          <w:p w:rsidR="00A866D5" w:rsidRPr="0049024C" w:rsidRDefault="00A866D5" w:rsidP="00193015">
            <w:pPr>
              <w:pStyle w:val="ListParagraph"/>
              <w:spacing w:before="120" w:after="120" w:line="240" w:lineRule="auto"/>
              <w:ind w:left="364"/>
              <w:contextualSpacing/>
              <w:rPr>
                <w:rFonts w:ascii="Times New Roman" w:hAnsi="Times New Roman" w:cs="Times New Roman"/>
                <w:b/>
                <w:sz w:val="24"/>
                <w:szCs w:val="24"/>
              </w:rPr>
            </w:pPr>
            <w:r w:rsidRPr="0049024C">
              <w:rPr>
                <w:rFonts w:ascii="Times New Roman" w:hAnsi="Times New Roman" w:cs="Times New Roman"/>
                <w:sz w:val="24"/>
                <w:szCs w:val="24"/>
              </w:rPr>
              <w:t>This provision shall pertain to all tenderers from joint venture/consortium and to all subcontractors</w:t>
            </w:r>
            <w:r w:rsidRPr="0049024C">
              <w:rPr>
                <w:rFonts w:ascii="Times New Roman" w:hAnsi="Times New Roman" w:cs="Times New Roman"/>
                <w:b/>
                <w:sz w:val="24"/>
                <w:szCs w:val="24"/>
              </w:rPr>
              <w:t>.</w:t>
            </w:r>
          </w:p>
          <w:p w:rsidR="00A866D5" w:rsidRPr="0049024C" w:rsidRDefault="00A866D5" w:rsidP="00193015">
            <w:pPr>
              <w:numPr>
                <w:ilvl w:val="0"/>
                <w:numId w:val="38"/>
              </w:numPr>
              <w:tabs>
                <w:tab w:val="clear" w:pos="720"/>
              </w:tabs>
              <w:suppressAutoHyphens w:val="0"/>
              <w:spacing w:before="120" w:after="120" w:line="240" w:lineRule="auto"/>
              <w:ind w:left="364"/>
              <w:jc w:val="both"/>
              <w:rPr>
                <w:rFonts w:ascii="Times New Roman" w:hAnsi="Times New Roman" w:cs="Times New Roman"/>
                <w:sz w:val="24"/>
                <w:szCs w:val="24"/>
              </w:rPr>
            </w:pPr>
            <w:r w:rsidRPr="0049024C">
              <w:rPr>
                <w:rFonts w:ascii="Times New Roman" w:hAnsi="Times New Roman" w:cs="Times New Roman"/>
                <w:b/>
                <w:sz w:val="24"/>
                <w:szCs w:val="24"/>
              </w:rPr>
              <w:t xml:space="preserve">Overall turnover: </w:t>
            </w:r>
            <w:r w:rsidRPr="0049024C">
              <w:rPr>
                <w:rFonts w:ascii="Times New Roman" w:hAnsi="Times New Roman" w:cs="Times New Roman"/>
                <w:sz w:val="24"/>
                <w:szCs w:val="24"/>
              </w:rPr>
              <w:t>The tenderer has had the following turnover in the course of past three years (2013, 2014, 2015), as a minimum:</w:t>
            </w:r>
          </w:p>
          <w:p w:rsidR="00A866D5" w:rsidRPr="005135C1" w:rsidRDefault="00A866D5" w:rsidP="00193015">
            <w:pPr>
              <w:pStyle w:val="ListParagraph"/>
              <w:widowControl w:val="0"/>
              <w:numPr>
                <w:ilvl w:val="0"/>
                <w:numId w:val="37"/>
              </w:numPr>
              <w:tabs>
                <w:tab w:val="clear" w:pos="720"/>
              </w:tabs>
              <w:spacing w:before="120" w:after="120" w:line="240" w:lineRule="auto"/>
              <w:ind w:left="607"/>
              <w:contextualSpacing/>
              <w:rPr>
                <w:rFonts w:ascii="Times New Roman" w:hAnsi="Times New Roman" w:cs="Times New Roman"/>
                <w:b/>
                <w:sz w:val="24"/>
                <w:szCs w:val="24"/>
              </w:rPr>
            </w:pPr>
            <w:r w:rsidRPr="005135C1">
              <w:rPr>
                <w:rFonts w:ascii="Times New Roman" w:hAnsi="Times New Roman" w:cs="Times New Roman"/>
                <w:sz w:val="24"/>
                <w:szCs w:val="24"/>
              </w:rPr>
              <w:t xml:space="preserve">For Lot 1: </w:t>
            </w:r>
            <w:r w:rsidR="005135C1" w:rsidRPr="005135C1">
              <w:rPr>
                <w:rFonts w:ascii="Times New Roman" w:hAnsi="Times New Roman" w:cs="Times New Roman"/>
                <w:sz w:val="24"/>
                <w:szCs w:val="24"/>
                <w:lang w:val="sr-Latn-CS"/>
              </w:rPr>
              <w:t>4.896.566,00</w:t>
            </w:r>
            <w:r w:rsidRPr="005135C1">
              <w:rPr>
                <w:rFonts w:ascii="Times New Roman" w:hAnsi="Times New Roman" w:cs="Times New Roman"/>
                <w:sz w:val="24"/>
                <w:szCs w:val="24"/>
              </w:rPr>
              <w:t xml:space="preserve"> EUR,</w:t>
            </w:r>
          </w:p>
          <w:p w:rsidR="00A866D5" w:rsidRPr="005135C1" w:rsidRDefault="00A866D5" w:rsidP="00193015">
            <w:pPr>
              <w:pStyle w:val="ListParagraph"/>
              <w:widowControl w:val="0"/>
              <w:numPr>
                <w:ilvl w:val="0"/>
                <w:numId w:val="37"/>
              </w:numPr>
              <w:tabs>
                <w:tab w:val="clear" w:pos="720"/>
              </w:tabs>
              <w:spacing w:before="120" w:after="120" w:line="240" w:lineRule="auto"/>
              <w:ind w:left="607"/>
              <w:contextualSpacing/>
              <w:rPr>
                <w:rFonts w:ascii="Times New Roman" w:hAnsi="Times New Roman" w:cs="Times New Roman"/>
                <w:b/>
                <w:sz w:val="24"/>
                <w:szCs w:val="24"/>
              </w:rPr>
            </w:pPr>
            <w:r w:rsidRPr="005135C1">
              <w:rPr>
                <w:rFonts w:ascii="Times New Roman" w:hAnsi="Times New Roman" w:cs="Times New Roman"/>
                <w:sz w:val="24"/>
                <w:szCs w:val="24"/>
              </w:rPr>
              <w:t xml:space="preserve">For Lot 2: </w:t>
            </w:r>
            <w:r w:rsidR="005135C1" w:rsidRPr="005135C1">
              <w:rPr>
                <w:rFonts w:ascii="Times New Roman" w:hAnsi="Times New Roman" w:cs="Times New Roman"/>
                <w:sz w:val="24"/>
                <w:szCs w:val="24"/>
                <w:lang w:val="sr-Latn-CS"/>
              </w:rPr>
              <w:t>4.202.287</w:t>
            </w:r>
            <w:proofErr w:type="gramStart"/>
            <w:r w:rsidR="005135C1" w:rsidRPr="005135C1">
              <w:rPr>
                <w:rFonts w:ascii="Times New Roman" w:hAnsi="Times New Roman" w:cs="Times New Roman"/>
                <w:sz w:val="24"/>
                <w:szCs w:val="24"/>
                <w:lang w:val="sr-Latn-CS"/>
              </w:rPr>
              <w:t>,00</w:t>
            </w:r>
            <w:proofErr w:type="gramEnd"/>
            <w:r w:rsidR="005135C1" w:rsidRPr="005135C1">
              <w:rPr>
                <w:rFonts w:ascii="Times New Roman" w:hAnsi="Times New Roman" w:cs="Times New Roman"/>
                <w:sz w:val="24"/>
                <w:szCs w:val="24"/>
                <w:lang w:val="sr-Latn-CS"/>
              </w:rPr>
              <w:t xml:space="preserve"> </w:t>
            </w:r>
            <w:r w:rsidRPr="005135C1">
              <w:rPr>
                <w:rFonts w:ascii="Times New Roman" w:hAnsi="Times New Roman" w:cs="Times New Roman"/>
                <w:sz w:val="24"/>
                <w:szCs w:val="24"/>
              </w:rPr>
              <w:t>EUR.</w:t>
            </w:r>
          </w:p>
          <w:p w:rsidR="00A866D5" w:rsidRPr="0049024C" w:rsidRDefault="00A866D5" w:rsidP="00193015">
            <w:pPr>
              <w:tabs>
                <w:tab w:val="clear" w:pos="720"/>
                <w:tab w:val="left" w:pos="-1440"/>
                <w:tab w:val="left" w:pos="181"/>
              </w:tabs>
              <w:spacing w:before="120" w:after="120" w:line="240" w:lineRule="auto"/>
              <w:ind w:left="323" w:right="8"/>
              <w:rPr>
                <w:rFonts w:ascii="Times New Roman" w:eastAsia="Calibri" w:hAnsi="Times New Roman" w:cs="Times New Roman"/>
                <w:sz w:val="24"/>
                <w:szCs w:val="24"/>
              </w:rPr>
            </w:pPr>
            <w:r w:rsidRPr="0049024C">
              <w:rPr>
                <w:rFonts w:ascii="Times New Roman" w:eastAsia="Calibri" w:hAnsi="Times New Roman" w:cs="Times New Roman"/>
                <w:sz w:val="24"/>
                <w:szCs w:val="24"/>
              </w:rPr>
              <w:t>If the tenderer submits tender for several lots, they have to have a sum of total turnover in the course of past three year for lots they tender for. Leading partner of a joint venture/consortium shall fulfil at least 50% of this condition.</w:t>
            </w:r>
          </w:p>
          <w:p w:rsidR="00A866D5" w:rsidRPr="0049024C" w:rsidRDefault="00A866D5" w:rsidP="00193015">
            <w:pPr>
              <w:tabs>
                <w:tab w:val="clear" w:pos="720"/>
                <w:tab w:val="left" w:pos="-1440"/>
                <w:tab w:val="left" w:pos="181"/>
              </w:tabs>
              <w:spacing w:before="120" w:after="120" w:line="240" w:lineRule="auto"/>
              <w:ind w:left="323" w:right="8"/>
              <w:contextualSpacing/>
              <w:rPr>
                <w:rFonts w:ascii="Times New Roman" w:hAnsi="Times New Roman" w:cs="Times New Roman"/>
                <w:sz w:val="24"/>
                <w:szCs w:val="24"/>
              </w:rPr>
            </w:pPr>
          </w:p>
          <w:p w:rsidR="00A866D5" w:rsidRPr="00193015" w:rsidRDefault="00A866D5" w:rsidP="00193015">
            <w:pPr>
              <w:pStyle w:val="ListParagraph"/>
              <w:numPr>
                <w:ilvl w:val="3"/>
                <w:numId w:val="3"/>
              </w:numPr>
              <w:tabs>
                <w:tab w:val="clear" w:pos="720"/>
              </w:tabs>
              <w:suppressAutoHyphens w:val="0"/>
              <w:spacing w:before="120" w:after="120" w:line="240" w:lineRule="auto"/>
              <w:ind w:left="364"/>
              <w:jc w:val="both"/>
              <w:rPr>
                <w:rFonts w:ascii="Times New Roman" w:hAnsi="Times New Roman" w:cs="Times New Roman"/>
                <w:b/>
                <w:sz w:val="24"/>
                <w:szCs w:val="24"/>
              </w:rPr>
            </w:pPr>
            <w:r w:rsidRPr="0049024C">
              <w:rPr>
                <w:rFonts w:ascii="Times New Roman" w:hAnsi="Times New Roman" w:cs="Times New Roman"/>
                <w:b/>
                <w:sz w:val="24"/>
                <w:szCs w:val="24"/>
              </w:rPr>
              <w:t xml:space="preserve">Personnel capacity. </w:t>
            </w:r>
            <w:r w:rsidRPr="00193015">
              <w:rPr>
                <w:rFonts w:ascii="Times New Roman" w:hAnsi="Times New Roman" w:cs="Times New Roman"/>
                <w:b/>
                <w:sz w:val="24"/>
                <w:szCs w:val="24"/>
              </w:rPr>
              <w:t>The tenderer shall meet the following minimum criteria:</w:t>
            </w:r>
          </w:p>
          <w:p w:rsidR="00A866D5" w:rsidRPr="00193015" w:rsidRDefault="00A866D5" w:rsidP="00193015">
            <w:pPr>
              <w:numPr>
                <w:ilvl w:val="0"/>
                <w:numId w:val="43"/>
              </w:numPr>
              <w:tabs>
                <w:tab w:val="clear" w:pos="720"/>
              </w:tabs>
              <w:suppressAutoHyphens w:val="0"/>
              <w:spacing w:before="120" w:after="120" w:line="240" w:lineRule="auto"/>
              <w:ind w:left="364"/>
              <w:jc w:val="both"/>
              <w:rPr>
                <w:rFonts w:ascii="Times New Roman" w:hAnsi="Times New Roman" w:cs="Times New Roman"/>
                <w:b/>
                <w:sz w:val="24"/>
                <w:szCs w:val="24"/>
              </w:rPr>
            </w:pPr>
            <w:r w:rsidRPr="0049024C">
              <w:rPr>
                <w:rFonts w:ascii="Times New Roman" w:hAnsi="Times New Roman" w:cs="Times New Roman"/>
                <w:b/>
                <w:sz w:val="24"/>
                <w:szCs w:val="24"/>
              </w:rPr>
              <w:t>Total number of employees.</w:t>
            </w:r>
            <w:r w:rsidR="00193015">
              <w:rPr>
                <w:rFonts w:ascii="Times New Roman" w:hAnsi="Times New Roman" w:cs="Times New Roman"/>
                <w:b/>
                <w:sz w:val="24"/>
                <w:szCs w:val="24"/>
              </w:rPr>
              <w:t xml:space="preserve"> </w:t>
            </w:r>
            <w:r w:rsidRPr="00193015">
              <w:rPr>
                <w:rFonts w:ascii="Times New Roman" w:hAnsi="Times New Roman" w:cs="Times New Roman"/>
                <w:sz w:val="24"/>
                <w:szCs w:val="24"/>
              </w:rPr>
              <w:t>The tenderer has at least the following number of employees in the month prior to the month in which the public call was published:</w:t>
            </w:r>
          </w:p>
          <w:p w:rsidR="00A866D5" w:rsidRPr="00193015" w:rsidRDefault="00A866D5" w:rsidP="00193015">
            <w:pPr>
              <w:pStyle w:val="ListParagraph"/>
              <w:widowControl w:val="0"/>
              <w:numPr>
                <w:ilvl w:val="0"/>
                <w:numId w:val="37"/>
              </w:numPr>
              <w:tabs>
                <w:tab w:val="clear" w:pos="720"/>
              </w:tabs>
              <w:spacing w:before="120" w:after="120" w:line="240" w:lineRule="auto"/>
              <w:ind w:left="607"/>
              <w:contextualSpacing/>
              <w:rPr>
                <w:rFonts w:ascii="Times New Roman" w:hAnsi="Times New Roman" w:cs="Times New Roman"/>
                <w:sz w:val="24"/>
                <w:szCs w:val="24"/>
              </w:rPr>
            </w:pPr>
            <w:r w:rsidRPr="0049024C">
              <w:rPr>
                <w:rFonts w:ascii="Times New Roman" w:hAnsi="Times New Roman" w:cs="Times New Roman"/>
                <w:sz w:val="24"/>
                <w:szCs w:val="24"/>
              </w:rPr>
              <w:t>For Lot 1: 50 persons</w:t>
            </w:r>
          </w:p>
          <w:p w:rsidR="00A866D5" w:rsidRPr="0049024C" w:rsidRDefault="00A866D5" w:rsidP="00193015">
            <w:pPr>
              <w:pStyle w:val="ListParagraph"/>
              <w:widowControl w:val="0"/>
              <w:numPr>
                <w:ilvl w:val="0"/>
                <w:numId w:val="37"/>
              </w:numPr>
              <w:tabs>
                <w:tab w:val="clear" w:pos="720"/>
              </w:tabs>
              <w:spacing w:before="120" w:after="120" w:line="240" w:lineRule="auto"/>
              <w:ind w:left="607"/>
              <w:contextualSpacing/>
              <w:rPr>
                <w:rFonts w:ascii="Times New Roman" w:hAnsi="Times New Roman" w:cs="Times New Roman"/>
                <w:sz w:val="24"/>
                <w:szCs w:val="24"/>
              </w:rPr>
            </w:pPr>
            <w:r w:rsidRPr="0049024C">
              <w:rPr>
                <w:rFonts w:ascii="Times New Roman" w:hAnsi="Times New Roman" w:cs="Times New Roman"/>
                <w:sz w:val="24"/>
                <w:szCs w:val="24"/>
              </w:rPr>
              <w:t>For Lot 2: 50 persons</w:t>
            </w:r>
          </w:p>
          <w:p w:rsidR="00A866D5" w:rsidRPr="00193015" w:rsidRDefault="0049024C" w:rsidP="00193015">
            <w:pPr>
              <w:tabs>
                <w:tab w:val="clear" w:pos="720"/>
                <w:tab w:val="left" w:pos="-1440"/>
                <w:tab w:val="left" w:pos="181"/>
              </w:tabs>
              <w:spacing w:before="120" w:after="120" w:line="240" w:lineRule="auto"/>
              <w:ind w:left="323" w:right="8"/>
              <w:rPr>
                <w:rFonts w:ascii="Times New Roman" w:eastAsia="Calibri" w:hAnsi="Times New Roman" w:cs="Times New Roman"/>
                <w:sz w:val="24"/>
                <w:szCs w:val="24"/>
              </w:rPr>
            </w:pPr>
            <w:r w:rsidRPr="0049024C">
              <w:rPr>
                <w:rFonts w:ascii="Times New Roman" w:eastAsia="Calibri" w:hAnsi="Times New Roman" w:cs="Times New Roman"/>
                <w:sz w:val="24"/>
              </w:rPr>
              <w:t>If the</w:t>
            </w:r>
            <w:r w:rsidR="00A866D5" w:rsidRPr="0049024C">
              <w:rPr>
                <w:rFonts w:ascii="Times New Roman" w:eastAsia="Calibri" w:hAnsi="Times New Roman" w:cs="Times New Roman"/>
                <w:sz w:val="24"/>
              </w:rPr>
              <w:t xml:space="preserve"> </w:t>
            </w:r>
            <w:r w:rsidR="00A866D5" w:rsidRPr="00193015">
              <w:rPr>
                <w:rFonts w:ascii="Times New Roman" w:eastAsia="Calibri" w:hAnsi="Times New Roman" w:cs="Times New Roman"/>
                <w:sz w:val="24"/>
                <w:szCs w:val="24"/>
              </w:rPr>
              <w:t xml:space="preserve">tenderer submits tender for both lots, minimal number of employees must be 80. </w:t>
            </w:r>
          </w:p>
          <w:p w:rsidR="00A866D5" w:rsidRPr="00193015" w:rsidRDefault="00A866D5" w:rsidP="00193015">
            <w:pPr>
              <w:tabs>
                <w:tab w:val="clear" w:pos="720"/>
                <w:tab w:val="left" w:pos="-1440"/>
                <w:tab w:val="left" w:pos="181"/>
              </w:tabs>
              <w:spacing w:before="120" w:after="120" w:line="240" w:lineRule="auto"/>
              <w:ind w:left="323" w:right="8"/>
              <w:rPr>
                <w:rFonts w:ascii="Times New Roman" w:eastAsia="Calibri" w:hAnsi="Times New Roman" w:cs="Times New Roman"/>
                <w:sz w:val="24"/>
                <w:szCs w:val="24"/>
              </w:rPr>
            </w:pPr>
            <w:r w:rsidRPr="0049024C">
              <w:rPr>
                <w:rFonts w:ascii="Times New Roman" w:eastAsia="Calibri" w:hAnsi="Times New Roman" w:cs="Times New Roman"/>
                <w:sz w:val="24"/>
                <w:szCs w:val="24"/>
              </w:rPr>
              <w:t xml:space="preserve">Leading partner of a joint venture/consortium shall fulfil at least 50% of this eligibility criterion. </w:t>
            </w:r>
          </w:p>
          <w:p w:rsidR="00A866D5" w:rsidRPr="0049024C" w:rsidRDefault="00A866D5" w:rsidP="00193015">
            <w:pPr>
              <w:tabs>
                <w:tab w:val="clear" w:pos="720"/>
                <w:tab w:val="left" w:pos="-1440"/>
                <w:tab w:val="left" w:pos="181"/>
              </w:tabs>
              <w:spacing w:before="120" w:after="120" w:line="240" w:lineRule="auto"/>
              <w:ind w:left="323" w:right="8"/>
              <w:rPr>
                <w:rFonts w:ascii="Times New Roman" w:eastAsia="Calibri" w:hAnsi="Times New Roman" w:cs="Times New Roman"/>
                <w:sz w:val="24"/>
              </w:rPr>
            </w:pPr>
            <w:r w:rsidRPr="00193015">
              <w:rPr>
                <w:rFonts w:ascii="Times New Roman" w:eastAsia="Calibri" w:hAnsi="Times New Roman" w:cs="Times New Roman"/>
                <w:sz w:val="24"/>
                <w:szCs w:val="24"/>
              </w:rPr>
              <w:t>Tenderer shall ensure that workers and qualified persons needed for the construction are hired for the realization of construction works in compliance with laws and bylaws of the Republic of Serbia, regardless of whether they were listed in criteria for personnel capacity.</w:t>
            </w:r>
          </w:p>
          <w:p w:rsidR="00D476F1" w:rsidRPr="00193015" w:rsidRDefault="00A866D5" w:rsidP="00193015">
            <w:pPr>
              <w:numPr>
                <w:ilvl w:val="0"/>
                <w:numId w:val="43"/>
              </w:numPr>
              <w:tabs>
                <w:tab w:val="clear" w:pos="720"/>
              </w:tabs>
              <w:suppressAutoHyphens w:val="0"/>
              <w:spacing w:before="120" w:after="120" w:line="240" w:lineRule="auto"/>
              <w:ind w:left="364"/>
              <w:jc w:val="both"/>
              <w:rPr>
                <w:rFonts w:ascii="Times New Roman" w:hAnsi="Times New Roman" w:cs="Times New Roman"/>
                <w:sz w:val="24"/>
                <w:szCs w:val="24"/>
              </w:rPr>
            </w:pPr>
            <w:r w:rsidRPr="00193015">
              <w:rPr>
                <w:rFonts w:ascii="Times New Roman" w:hAnsi="Times New Roman" w:cs="Times New Roman"/>
                <w:b/>
                <w:sz w:val="24"/>
                <w:szCs w:val="24"/>
              </w:rPr>
              <w:t>Experts for project implementation:</w:t>
            </w:r>
            <w:r w:rsidR="00731FD8" w:rsidRPr="00193015">
              <w:rPr>
                <w:rFonts w:ascii="Times New Roman" w:hAnsi="Times New Roman" w:cs="Times New Roman"/>
                <w:b/>
                <w:sz w:val="24"/>
                <w:szCs w:val="24"/>
              </w:rPr>
              <w:t xml:space="preserve"> </w:t>
            </w:r>
            <w:r w:rsidRPr="00193015">
              <w:rPr>
                <w:rFonts w:ascii="Times New Roman" w:hAnsi="Times New Roman" w:cs="Times New Roman"/>
                <w:sz w:val="24"/>
                <w:szCs w:val="24"/>
              </w:rPr>
              <w:t xml:space="preserve">The tenderer must </w:t>
            </w:r>
            <w:r w:rsidR="009D0B56" w:rsidRPr="00193015">
              <w:rPr>
                <w:rFonts w:ascii="Times New Roman" w:hAnsi="Times New Roman" w:cs="Times New Roman"/>
                <w:sz w:val="24"/>
                <w:szCs w:val="24"/>
              </w:rPr>
              <w:t>employ or hire on any legal grounds</w:t>
            </w:r>
            <w:r w:rsidRPr="00193015">
              <w:rPr>
                <w:rFonts w:ascii="Times New Roman" w:hAnsi="Times New Roman" w:cs="Times New Roman"/>
                <w:sz w:val="24"/>
                <w:szCs w:val="24"/>
              </w:rPr>
              <w:t xml:space="preserve"> </w:t>
            </w:r>
            <w:r w:rsidR="009D0B56" w:rsidRPr="00193015">
              <w:rPr>
                <w:rFonts w:ascii="Times New Roman" w:hAnsi="Times New Roman" w:cs="Times New Roman"/>
                <w:sz w:val="24"/>
                <w:szCs w:val="24"/>
              </w:rPr>
              <w:t>the</w:t>
            </w:r>
            <w:r w:rsidRPr="00193015">
              <w:rPr>
                <w:rFonts w:ascii="Times New Roman" w:hAnsi="Times New Roman" w:cs="Times New Roman"/>
                <w:sz w:val="24"/>
                <w:szCs w:val="24"/>
              </w:rPr>
              <w:t xml:space="preserve"> following expert team </w:t>
            </w:r>
            <w:r w:rsidR="009D0B56" w:rsidRPr="00193015">
              <w:rPr>
                <w:rFonts w:ascii="Times New Roman" w:hAnsi="Times New Roman" w:cs="Times New Roman"/>
                <w:sz w:val="24"/>
                <w:szCs w:val="24"/>
              </w:rPr>
              <w:t>so as to enable project implementation:</w:t>
            </w:r>
          </w:p>
          <w:p w:rsidR="009D0B56" w:rsidRPr="00193015" w:rsidRDefault="009D0B56" w:rsidP="00193015">
            <w:pPr>
              <w:pStyle w:val="ListParagraph"/>
              <w:widowControl w:val="0"/>
              <w:numPr>
                <w:ilvl w:val="0"/>
                <w:numId w:val="37"/>
              </w:numPr>
              <w:tabs>
                <w:tab w:val="clear" w:pos="720"/>
              </w:tabs>
              <w:spacing w:before="120" w:after="120" w:line="240" w:lineRule="auto"/>
              <w:ind w:left="607"/>
              <w:contextualSpacing/>
              <w:rPr>
                <w:rFonts w:ascii="Times New Roman" w:hAnsi="Times New Roman" w:cs="Times New Roman"/>
                <w:b/>
                <w:sz w:val="24"/>
                <w:szCs w:val="24"/>
              </w:rPr>
            </w:pPr>
            <w:r w:rsidRPr="00193015">
              <w:rPr>
                <w:rFonts w:ascii="Times New Roman" w:hAnsi="Times New Roman" w:cs="Times New Roman"/>
                <w:b/>
                <w:sz w:val="24"/>
                <w:szCs w:val="24"/>
              </w:rPr>
              <w:t>For Lot 1</w:t>
            </w:r>
            <w:r w:rsidR="000E317E" w:rsidRPr="00193015">
              <w:rPr>
                <w:rFonts w:ascii="Times New Roman" w:hAnsi="Times New Roman" w:cs="Times New Roman"/>
                <w:b/>
                <w:sz w:val="24"/>
                <w:szCs w:val="24"/>
              </w:rPr>
              <w:t xml:space="preserve">: </w:t>
            </w:r>
            <w:proofErr w:type="spellStart"/>
            <w:r w:rsidR="00D00753" w:rsidRPr="00193015">
              <w:rPr>
                <w:rFonts w:ascii="Times New Roman" w:hAnsi="Times New Roman" w:cs="Times New Roman"/>
                <w:b/>
                <w:sz w:val="24"/>
                <w:szCs w:val="24"/>
              </w:rPr>
              <w:t>Arilje</w:t>
            </w:r>
            <w:proofErr w:type="spellEnd"/>
            <w:r w:rsidR="00D00753" w:rsidRPr="00193015">
              <w:rPr>
                <w:rFonts w:ascii="Times New Roman" w:hAnsi="Times New Roman" w:cs="Times New Roman"/>
                <w:b/>
                <w:sz w:val="24"/>
                <w:szCs w:val="24"/>
              </w:rPr>
              <w:t xml:space="preserve">, </w:t>
            </w:r>
            <w:proofErr w:type="spellStart"/>
            <w:r w:rsidR="00D00753" w:rsidRPr="00193015">
              <w:rPr>
                <w:rFonts w:ascii="Times New Roman" w:hAnsi="Times New Roman" w:cs="Times New Roman"/>
                <w:b/>
                <w:sz w:val="24"/>
                <w:szCs w:val="24"/>
              </w:rPr>
              <w:t>Bor</w:t>
            </w:r>
            <w:proofErr w:type="spellEnd"/>
            <w:r w:rsidR="00D00753" w:rsidRPr="00193015">
              <w:rPr>
                <w:rFonts w:ascii="Times New Roman" w:hAnsi="Times New Roman" w:cs="Times New Roman"/>
                <w:b/>
                <w:sz w:val="24"/>
                <w:szCs w:val="24"/>
              </w:rPr>
              <w:t xml:space="preserve">, </w:t>
            </w:r>
            <w:proofErr w:type="spellStart"/>
            <w:r w:rsidR="00D00753" w:rsidRPr="00193015">
              <w:rPr>
                <w:rFonts w:ascii="Times New Roman" w:hAnsi="Times New Roman" w:cs="Times New Roman"/>
                <w:b/>
                <w:sz w:val="24"/>
                <w:szCs w:val="24"/>
              </w:rPr>
              <w:t>Vrnjacka</w:t>
            </w:r>
            <w:proofErr w:type="spellEnd"/>
            <w:r w:rsidR="00D00753" w:rsidRPr="00193015">
              <w:rPr>
                <w:rFonts w:ascii="Times New Roman" w:hAnsi="Times New Roman" w:cs="Times New Roman"/>
                <w:b/>
                <w:sz w:val="24"/>
                <w:szCs w:val="24"/>
              </w:rPr>
              <w:t xml:space="preserve"> Banja,</w:t>
            </w:r>
            <w:r w:rsidR="000E317E" w:rsidRPr="00193015">
              <w:rPr>
                <w:rFonts w:ascii="Times New Roman" w:hAnsi="Times New Roman" w:cs="Times New Roman"/>
                <w:b/>
                <w:sz w:val="24"/>
                <w:szCs w:val="24"/>
              </w:rPr>
              <w:t xml:space="preserve"> </w:t>
            </w:r>
            <w:proofErr w:type="spellStart"/>
            <w:r w:rsidR="000E317E" w:rsidRPr="00193015">
              <w:rPr>
                <w:rFonts w:ascii="Times New Roman" w:hAnsi="Times New Roman" w:cs="Times New Roman"/>
                <w:b/>
                <w:sz w:val="24"/>
                <w:szCs w:val="24"/>
              </w:rPr>
              <w:t>Uzice</w:t>
            </w:r>
            <w:proofErr w:type="spellEnd"/>
            <w:r w:rsidR="000E317E" w:rsidRPr="00193015">
              <w:rPr>
                <w:rFonts w:ascii="Times New Roman" w:hAnsi="Times New Roman" w:cs="Times New Roman"/>
                <w:b/>
                <w:sz w:val="24"/>
                <w:szCs w:val="24"/>
              </w:rPr>
              <w:t xml:space="preserve">, </w:t>
            </w:r>
            <w:proofErr w:type="spellStart"/>
            <w:r w:rsidR="000E317E" w:rsidRPr="00193015">
              <w:rPr>
                <w:rFonts w:ascii="Times New Roman" w:hAnsi="Times New Roman" w:cs="Times New Roman"/>
                <w:b/>
                <w:sz w:val="24"/>
                <w:szCs w:val="24"/>
              </w:rPr>
              <w:t>Loznica</w:t>
            </w:r>
            <w:proofErr w:type="spellEnd"/>
            <w:r w:rsidR="000E317E" w:rsidRPr="00193015">
              <w:rPr>
                <w:rFonts w:ascii="Times New Roman" w:hAnsi="Times New Roman" w:cs="Times New Roman"/>
                <w:b/>
                <w:sz w:val="24"/>
                <w:szCs w:val="24"/>
              </w:rPr>
              <w:t xml:space="preserve">, </w:t>
            </w:r>
            <w:proofErr w:type="spellStart"/>
            <w:r w:rsidR="000E317E" w:rsidRPr="00193015">
              <w:rPr>
                <w:rFonts w:ascii="Times New Roman" w:hAnsi="Times New Roman" w:cs="Times New Roman"/>
                <w:b/>
                <w:sz w:val="24"/>
                <w:szCs w:val="24"/>
              </w:rPr>
              <w:t>Brus</w:t>
            </w:r>
            <w:proofErr w:type="spellEnd"/>
            <w:r w:rsidR="000E317E" w:rsidRPr="00193015">
              <w:rPr>
                <w:rFonts w:ascii="Times New Roman" w:hAnsi="Times New Roman" w:cs="Times New Roman"/>
                <w:b/>
                <w:sz w:val="24"/>
                <w:szCs w:val="24"/>
              </w:rPr>
              <w:t xml:space="preserve">, </w:t>
            </w:r>
            <w:proofErr w:type="spellStart"/>
            <w:r w:rsidR="000E317E" w:rsidRPr="00193015">
              <w:rPr>
                <w:rFonts w:ascii="Times New Roman" w:hAnsi="Times New Roman" w:cs="Times New Roman"/>
                <w:b/>
                <w:sz w:val="24"/>
                <w:szCs w:val="24"/>
              </w:rPr>
              <w:t>Kladovo</w:t>
            </w:r>
            <w:proofErr w:type="spellEnd"/>
            <w:r w:rsidR="000E317E" w:rsidRPr="00193015">
              <w:rPr>
                <w:rFonts w:ascii="Times New Roman" w:hAnsi="Times New Roman" w:cs="Times New Roman"/>
                <w:b/>
                <w:sz w:val="24"/>
                <w:szCs w:val="24"/>
              </w:rPr>
              <w:t xml:space="preserve"> and</w:t>
            </w:r>
            <w:r w:rsidR="00D00753" w:rsidRPr="00193015">
              <w:rPr>
                <w:rFonts w:ascii="Times New Roman" w:hAnsi="Times New Roman" w:cs="Times New Roman"/>
                <w:b/>
                <w:sz w:val="24"/>
                <w:szCs w:val="24"/>
              </w:rPr>
              <w:t xml:space="preserve"> </w:t>
            </w:r>
            <w:proofErr w:type="spellStart"/>
            <w:r w:rsidR="00D00753" w:rsidRPr="00193015">
              <w:rPr>
                <w:rFonts w:ascii="Times New Roman" w:hAnsi="Times New Roman" w:cs="Times New Roman"/>
                <w:b/>
                <w:sz w:val="24"/>
                <w:szCs w:val="24"/>
              </w:rPr>
              <w:t>Negotin</w:t>
            </w:r>
            <w:proofErr w:type="spellEnd"/>
          </w:p>
          <w:tbl>
            <w:tblPr>
              <w:tblW w:w="865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3119"/>
              <w:gridCol w:w="709"/>
              <w:gridCol w:w="1842"/>
              <w:gridCol w:w="1701"/>
            </w:tblGrid>
            <w:tr w:rsidR="009D0B56" w:rsidRPr="0049024C" w:rsidTr="009D0B56">
              <w:trPr>
                <w:trHeight w:val="284"/>
              </w:trPr>
              <w:tc>
                <w:tcPr>
                  <w:tcW w:w="1280" w:type="dxa"/>
                  <w:shd w:val="clear" w:color="auto" w:fill="F2F2F2"/>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Position </w:t>
                  </w:r>
                </w:p>
              </w:tc>
              <w:tc>
                <w:tcPr>
                  <w:tcW w:w="3119" w:type="dxa"/>
                  <w:shd w:val="clear" w:color="auto" w:fill="F2F2F2"/>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Qualifications </w:t>
                  </w:r>
                </w:p>
              </w:tc>
              <w:tc>
                <w:tcPr>
                  <w:tcW w:w="709" w:type="dxa"/>
                  <w:shd w:val="clear" w:color="auto" w:fill="F2F2F2"/>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Number of persons</w:t>
                  </w:r>
                </w:p>
              </w:tc>
              <w:tc>
                <w:tcPr>
                  <w:tcW w:w="1842" w:type="dxa"/>
                  <w:shd w:val="clear" w:color="auto" w:fill="F2F2F2"/>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Licence </w:t>
                  </w:r>
                </w:p>
              </w:tc>
              <w:tc>
                <w:tcPr>
                  <w:tcW w:w="1701" w:type="dxa"/>
                  <w:shd w:val="clear" w:color="auto" w:fill="F2F2F2"/>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Employment basis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Key expert  1,2,3,4 </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BSc in Architecture or BSc in Civil Engineering </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4</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400 or 401 or</w:t>
                  </w:r>
                </w:p>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410 or 411</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Employed or engaged on any grounds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lastRenderedPageBreak/>
                    <w:t>Key expert</w:t>
                  </w:r>
                </w:p>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5,6,7,8</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BSc in Architecture or BSc in Civil Engineering </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4</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400 or 401 or </w:t>
                  </w:r>
                </w:p>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410 or 411</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Employed or engaged on any grounds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Key expert 9</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BSc in Electrical Engineering</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1</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450</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Employed or engaged on any grounds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Key expert 10</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BSc in Electrical Engineering</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1</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453</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Employed or engaged on any grounds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Key expert 11</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BSc in Mechanical Engineering</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1</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430</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Employed or engaged on any grounds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Person responsible for occupational health and </w:t>
                  </w:r>
                  <w:r w:rsidR="001B4A29">
                    <w:rPr>
                      <w:rFonts w:ascii="Times New Roman" w:eastAsia="Calibri" w:hAnsi="Times New Roman" w:cs="Times New Roman"/>
                      <w:sz w:val="20"/>
                      <w:szCs w:val="20"/>
                    </w:rPr>
                    <w:t>safety 12, 13</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Passed professional examination</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2</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*Licence/certificate</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Employed or engaged on any grounds</w:t>
                  </w:r>
                </w:p>
              </w:tc>
            </w:tr>
          </w:tbl>
          <w:p w:rsidR="009D0B56" w:rsidRPr="0049024C" w:rsidRDefault="009D0B56" w:rsidP="00193015">
            <w:pPr>
              <w:spacing w:before="120" w:after="120" w:line="240" w:lineRule="auto"/>
              <w:rPr>
                <w:rFonts w:ascii="Times New Roman" w:hAnsi="Times New Roman" w:cs="Times New Roman"/>
                <w:sz w:val="20"/>
                <w:szCs w:val="20"/>
              </w:rPr>
            </w:pPr>
          </w:p>
          <w:p w:rsidR="009D0B56" w:rsidRPr="00D00753" w:rsidRDefault="009D0B56" w:rsidP="00193015">
            <w:pPr>
              <w:pStyle w:val="ListParagraph"/>
              <w:widowControl w:val="0"/>
              <w:numPr>
                <w:ilvl w:val="0"/>
                <w:numId w:val="37"/>
              </w:numPr>
              <w:tabs>
                <w:tab w:val="clear" w:pos="720"/>
              </w:tabs>
              <w:spacing w:before="120" w:after="120" w:line="240" w:lineRule="auto"/>
              <w:ind w:left="607"/>
              <w:contextualSpacing/>
              <w:rPr>
                <w:rFonts w:ascii="Times New Roman" w:hAnsi="Times New Roman" w:cs="Times New Roman"/>
                <w:b/>
                <w:sz w:val="24"/>
                <w:szCs w:val="24"/>
              </w:rPr>
            </w:pPr>
            <w:r w:rsidRPr="00D00753">
              <w:rPr>
                <w:rFonts w:ascii="Times New Roman" w:hAnsi="Times New Roman" w:cs="Times New Roman"/>
                <w:b/>
                <w:sz w:val="24"/>
                <w:szCs w:val="24"/>
              </w:rPr>
              <w:t>For Lot 2</w:t>
            </w:r>
            <w:r w:rsidR="001B4A29">
              <w:rPr>
                <w:rFonts w:ascii="Times New Roman" w:hAnsi="Times New Roman" w:cs="Times New Roman"/>
                <w:b/>
                <w:sz w:val="24"/>
                <w:szCs w:val="24"/>
              </w:rPr>
              <w:t xml:space="preserve">: </w:t>
            </w:r>
            <w:proofErr w:type="spellStart"/>
            <w:r w:rsidR="00D00753" w:rsidRPr="00D00753">
              <w:rPr>
                <w:rFonts w:ascii="Times New Roman" w:hAnsi="Times New Roman" w:cs="Times New Roman"/>
                <w:b/>
                <w:sz w:val="24"/>
                <w:szCs w:val="24"/>
              </w:rPr>
              <w:t>Odzaci</w:t>
            </w:r>
            <w:proofErr w:type="spellEnd"/>
            <w:r w:rsidR="00D00753" w:rsidRPr="00D00753">
              <w:rPr>
                <w:rFonts w:ascii="Times New Roman" w:hAnsi="Times New Roman" w:cs="Times New Roman"/>
                <w:b/>
                <w:sz w:val="24"/>
                <w:szCs w:val="24"/>
              </w:rPr>
              <w:t>,</w:t>
            </w:r>
            <w:r w:rsidR="001B4A29">
              <w:rPr>
                <w:rFonts w:ascii="Times New Roman" w:hAnsi="Times New Roman" w:cs="Times New Roman"/>
                <w:b/>
                <w:sz w:val="24"/>
                <w:szCs w:val="24"/>
              </w:rPr>
              <w:t xml:space="preserve"> </w:t>
            </w:r>
            <w:proofErr w:type="spellStart"/>
            <w:r w:rsidR="001B4A29">
              <w:rPr>
                <w:rFonts w:ascii="Times New Roman" w:hAnsi="Times New Roman" w:cs="Times New Roman"/>
                <w:b/>
                <w:sz w:val="24"/>
                <w:szCs w:val="24"/>
              </w:rPr>
              <w:t>Sombor</w:t>
            </w:r>
            <w:proofErr w:type="spellEnd"/>
            <w:r w:rsidR="001B4A29">
              <w:rPr>
                <w:rFonts w:ascii="Times New Roman" w:hAnsi="Times New Roman" w:cs="Times New Roman"/>
                <w:b/>
                <w:sz w:val="24"/>
                <w:szCs w:val="24"/>
              </w:rPr>
              <w:t xml:space="preserve">, </w:t>
            </w:r>
            <w:proofErr w:type="spellStart"/>
            <w:r w:rsidR="001B4A29">
              <w:rPr>
                <w:rFonts w:ascii="Times New Roman" w:hAnsi="Times New Roman" w:cs="Times New Roman"/>
                <w:b/>
                <w:sz w:val="24"/>
                <w:szCs w:val="24"/>
              </w:rPr>
              <w:t>Stara</w:t>
            </w:r>
            <w:proofErr w:type="spellEnd"/>
            <w:r w:rsidR="001B4A29">
              <w:rPr>
                <w:rFonts w:ascii="Times New Roman" w:hAnsi="Times New Roman" w:cs="Times New Roman"/>
                <w:b/>
                <w:sz w:val="24"/>
                <w:szCs w:val="24"/>
              </w:rPr>
              <w:t xml:space="preserve"> </w:t>
            </w:r>
            <w:proofErr w:type="spellStart"/>
            <w:r w:rsidR="001B4A29">
              <w:rPr>
                <w:rFonts w:ascii="Times New Roman" w:hAnsi="Times New Roman" w:cs="Times New Roman"/>
                <w:b/>
                <w:sz w:val="24"/>
                <w:szCs w:val="24"/>
              </w:rPr>
              <w:t>Pazova</w:t>
            </w:r>
            <w:proofErr w:type="spellEnd"/>
            <w:r w:rsidR="001B4A29">
              <w:rPr>
                <w:rFonts w:ascii="Times New Roman" w:hAnsi="Times New Roman" w:cs="Times New Roman"/>
                <w:b/>
                <w:sz w:val="24"/>
                <w:szCs w:val="24"/>
              </w:rPr>
              <w:t xml:space="preserve">, </w:t>
            </w:r>
            <w:proofErr w:type="spellStart"/>
            <w:r w:rsidR="001B4A29">
              <w:rPr>
                <w:rFonts w:ascii="Times New Roman" w:hAnsi="Times New Roman" w:cs="Times New Roman"/>
                <w:b/>
                <w:sz w:val="24"/>
                <w:szCs w:val="24"/>
              </w:rPr>
              <w:t>Temerin</w:t>
            </w:r>
            <w:proofErr w:type="spellEnd"/>
            <w:r w:rsidR="001B4A29">
              <w:rPr>
                <w:rFonts w:ascii="Times New Roman" w:hAnsi="Times New Roman" w:cs="Times New Roman"/>
                <w:b/>
                <w:sz w:val="24"/>
                <w:szCs w:val="24"/>
              </w:rPr>
              <w:t xml:space="preserve"> and </w:t>
            </w:r>
            <w:proofErr w:type="spellStart"/>
            <w:r w:rsidR="001B4A29">
              <w:rPr>
                <w:rFonts w:ascii="Times New Roman" w:hAnsi="Times New Roman" w:cs="Times New Roman"/>
                <w:b/>
                <w:sz w:val="24"/>
                <w:szCs w:val="24"/>
              </w:rPr>
              <w:t>Zrenjanin</w:t>
            </w:r>
            <w:proofErr w:type="spellEnd"/>
            <w:r w:rsidRPr="00D00753">
              <w:rPr>
                <w:rFonts w:ascii="Times New Roman" w:hAnsi="Times New Roman" w:cs="Times New Roman"/>
                <w:b/>
                <w:sz w:val="24"/>
                <w:szCs w:val="24"/>
              </w:rPr>
              <w:t>:</w:t>
            </w: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3119"/>
              <w:gridCol w:w="709"/>
              <w:gridCol w:w="1842"/>
              <w:gridCol w:w="1701"/>
            </w:tblGrid>
            <w:tr w:rsidR="009D0B56" w:rsidRPr="0049024C" w:rsidTr="009D0B56">
              <w:trPr>
                <w:trHeight w:val="284"/>
              </w:trPr>
              <w:tc>
                <w:tcPr>
                  <w:tcW w:w="1280" w:type="dxa"/>
                  <w:shd w:val="clear" w:color="auto" w:fill="F2F2F2"/>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Position </w:t>
                  </w:r>
                </w:p>
              </w:tc>
              <w:tc>
                <w:tcPr>
                  <w:tcW w:w="3119" w:type="dxa"/>
                  <w:shd w:val="clear" w:color="auto" w:fill="F2F2F2"/>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Qualifications </w:t>
                  </w:r>
                </w:p>
              </w:tc>
              <w:tc>
                <w:tcPr>
                  <w:tcW w:w="709" w:type="dxa"/>
                  <w:shd w:val="clear" w:color="auto" w:fill="F2F2F2"/>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Number of persons</w:t>
                  </w:r>
                </w:p>
              </w:tc>
              <w:tc>
                <w:tcPr>
                  <w:tcW w:w="1842" w:type="dxa"/>
                  <w:shd w:val="clear" w:color="auto" w:fill="F2F2F2"/>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Licence </w:t>
                  </w:r>
                </w:p>
              </w:tc>
              <w:tc>
                <w:tcPr>
                  <w:tcW w:w="1701" w:type="dxa"/>
                  <w:shd w:val="clear" w:color="auto" w:fill="F2F2F2"/>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Employment basis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Key expert  1,</w:t>
                  </w:r>
                  <w:r w:rsidR="001B4A29">
                    <w:rPr>
                      <w:rFonts w:ascii="Times New Roman" w:eastAsia="Calibri" w:hAnsi="Times New Roman" w:cs="Times New Roman"/>
                      <w:sz w:val="20"/>
                      <w:szCs w:val="20"/>
                    </w:rPr>
                    <w:t xml:space="preserve"> </w:t>
                  </w:r>
                  <w:r w:rsidRPr="0049024C">
                    <w:rPr>
                      <w:rFonts w:ascii="Times New Roman" w:eastAsia="Calibri" w:hAnsi="Times New Roman" w:cs="Times New Roman"/>
                      <w:sz w:val="20"/>
                      <w:szCs w:val="20"/>
                    </w:rPr>
                    <w:t>2,</w:t>
                  </w:r>
                  <w:r w:rsidR="001B4A29">
                    <w:rPr>
                      <w:rFonts w:ascii="Times New Roman" w:eastAsia="Calibri" w:hAnsi="Times New Roman" w:cs="Times New Roman"/>
                      <w:sz w:val="20"/>
                      <w:szCs w:val="20"/>
                    </w:rPr>
                    <w:t xml:space="preserve"> </w:t>
                  </w:r>
                  <w:r w:rsidRPr="0049024C">
                    <w:rPr>
                      <w:rFonts w:ascii="Times New Roman" w:eastAsia="Calibri" w:hAnsi="Times New Roman" w:cs="Times New Roman"/>
                      <w:sz w:val="20"/>
                      <w:szCs w:val="20"/>
                    </w:rPr>
                    <w:t>3</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BSc in Architecture or BSc in Civil Engineering </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3</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400 or 401 or </w:t>
                  </w:r>
                </w:p>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410 or 411</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Employed or engaged on any grounds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Key expert  4, 5</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BSc in Architecture or BSc in Civil Engineering </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2</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400 or 401 or </w:t>
                  </w:r>
                </w:p>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410 or 411</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Employed or engaged on any grounds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Key expert  6</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BSc in Electrical Engineering</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1</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450</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Employed or engaged on any grounds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Key expert  7</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BSc in Electrical Engineering</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1</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453</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Employed or engaged on any grounds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Key expert  8</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BSc in Mechanical Engineering</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1</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430</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Employed or engaged on any grounds</w:t>
                  </w:r>
                </w:p>
              </w:tc>
            </w:tr>
            <w:tr w:rsidR="009D0B56" w:rsidRPr="0049024C" w:rsidTr="009D0B56">
              <w:trPr>
                <w:trHeight w:val="284"/>
              </w:trPr>
              <w:tc>
                <w:tcPr>
                  <w:tcW w:w="1280"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 xml:space="preserve">Person responsible for </w:t>
                  </w:r>
                  <w:r w:rsidRPr="0049024C">
                    <w:rPr>
                      <w:rFonts w:ascii="Times New Roman" w:eastAsia="Calibri" w:hAnsi="Times New Roman" w:cs="Times New Roman"/>
                      <w:sz w:val="20"/>
                      <w:szCs w:val="20"/>
                    </w:rPr>
                    <w:lastRenderedPageBreak/>
                    <w:t>occupational health and safety 9</w:t>
                  </w:r>
                </w:p>
              </w:tc>
              <w:tc>
                <w:tcPr>
                  <w:tcW w:w="3119"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lastRenderedPageBreak/>
                    <w:t>Passed professional examination</w:t>
                  </w:r>
                </w:p>
              </w:tc>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szCs w:val="20"/>
                    </w:rPr>
                  </w:pPr>
                  <w:r w:rsidRPr="0049024C">
                    <w:rPr>
                      <w:rFonts w:ascii="Times New Roman" w:eastAsia="Calibri" w:hAnsi="Times New Roman" w:cs="Times New Roman"/>
                      <w:sz w:val="20"/>
                      <w:szCs w:val="20"/>
                    </w:rPr>
                    <w:t>1</w:t>
                  </w:r>
                </w:p>
              </w:tc>
              <w:tc>
                <w:tcPr>
                  <w:tcW w:w="1842" w:type="dxa"/>
                  <w:vAlign w:val="center"/>
                </w:tcPr>
                <w:p w:rsidR="009D0B56" w:rsidRPr="0049024C" w:rsidRDefault="009D0B56" w:rsidP="00193015">
                  <w:pPr>
                    <w:spacing w:before="120" w:after="120" w:line="240" w:lineRule="auto"/>
                    <w:rPr>
                      <w:rFonts w:ascii="Times New Roman" w:eastAsia="Calibri" w:hAnsi="Times New Roman" w:cs="Times New Roman"/>
                      <w:sz w:val="20"/>
                      <w:szCs w:val="20"/>
                    </w:rPr>
                  </w:pPr>
                  <w:r w:rsidRPr="0049024C">
                    <w:rPr>
                      <w:rFonts w:ascii="Times New Roman" w:eastAsia="Calibri" w:hAnsi="Times New Roman" w:cs="Times New Roman"/>
                      <w:sz w:val="20"/>
                      <w:szCs w:val="20"/>
                    </w:rPr>
                    <w:t>*Licence/certificate</w:t>
                  </w:r>
                </w:p>
              </w:tc>
              <w:tc>
                <w:tcPr>
                  <w:tcW w:w="1701" w:type="dxa"/>
                  <w:vAlign w:val="center"/>
                </w:tcPr>
                <w:p w:rsidR="009D0B56" w:rsidRPr="0049024C" w:rsidRDefault="009D0B56" w:rsidP="00193015">
                  <w:pPr>
                    <w:spacing w:before="120" w:after="120" w:line="240" w:lineRule="auto"/>
                    <w:jc w:val="center"/>
                    <w:rPr>
                      <w:rFonts w:ascii="Times New Roman" w:hAnsi="Times New Roman" w:cs="Times New Roman"/>
                      <w:sz w:val="20"/>
                      <w:szCs w:val="20"/>
                    </w:rPr>
                  </w:pPr>
                  <w:r w:rsidRPr="0049024C">
                    <w:rPr>
                      <w:rFonts w:ascii="Times New Roman" w:hAnsi="Times New Roman" w:cs="Times New Roman"/>
                      <w:sz w:val="20"/>
                      <w:szCs w:val="20"/>
                    </w:rPr>
                    <w:t xml:space="preserve">Employed or engaged on any </w:t>
                  </w:r>
                  <w:r w:rsidRPr="0049024C">
                    <w:rPr>
                      <w:rFonts w:ascii="Times New Roman" w:hAnsi="Times New Roman" w:cs="Times New Roman"/>
                      <w:sz w:val="20"/>
                      <w:szCs w:val="20"/>
                    </w:rPr>
                    <w:lastRenderedPageBreak/>
                    <w:t>grounds</w:t>
                  </w:r>
                </w:p>
              </w:tc>
            </w:tr>
          </w:tbl>
          <w:p w:rsidR="009D0B56" w:rsidRPr="0049024C" w:rsidRDefault="009D0B56"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lastRenderedPageBreak/>
              <w:t>Listed persons will be hired for the project implementation, full time, minimum 40 hours a week. If the tenderer submits tenders for several lots, it has to employ at least a sum of minimal number of persons for lots it submits tenders for. The same person must not be hired for several positions or lots. All members of joint venture/consortium and subcontractors collectively fulfil the condition.</w:t>
            </w:r>
          </w:p>
          <w:p w:rsidR="009D0B56" w:rsidRPr="0049024C" w:rsidRDefault="009D0B56"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All hired persons must hold licences issued by relevant institutions of the Republic of Serbia (Serbian Chamber of Engineers) for the period of works realization. In case that tenderer awarded with the contract is a foreign company, or if the tenderer from the country of the Contracting Authority hires foreign citizens, they shall ensure that persons hired are all holders of licences for works realization in compliance with regulations in place in the Republic of Serbia.</w:t>
            </w:r>
          </w:p>
          <w:p w:rsidR="009D0B56" w:rsidRDefault="009D0B56"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Tenderer shall ensure that workers and qualified persons needed for the construction are hired for the realisation of construction works in compliance with laws and bylaws of the Republic of Serbia, regardless of requirements from this tender dossier.</w:t>
            </w:r>
          </w:p>
          <w:p w:rsidR="00034785" w:rsidRPr="0049024C" w:rsidRDefault="00034785" w:rsidP="00193015">
            <w:pPr>
              <w:spacing w:before="120" w:after="120" w:line="240" w:lineRule="auto"/>
              <w:jc w:val="both"/>
              <w:rPr>
                <w:rFonts w:ascii="Times New Roman" w:hAnsi="Times New Roman" w:cs="Times New Roman"/>
                <w:sz w:val="24"/>
                <w:szCs w:val="24"/>
              </w:rPr>
            </w:pPr>
          </w:p>
          <w:p w:rsidR="009D0B56" w:rsidRPr="0049024C" w:rsidRDefault="009D0B56" w:rsidP="00193015">
            <w:pPr>
              <w:pStyle w:val="ListParagraph"/>
              <w:numPr>
                <w:ilvl w:val="3"/>
                <w:numId w:val="3"/>
              </w:numPr>
              <w:tabs>
                <w:tab w:val="clear" w:pos="720"/>
              </w:tabs>
              <w:suppressAutoHyphens w:val="0"/>
              <w:spacing w:before="120" w:after="120" w:line="240" w:lineRule="auto"/>
              <w:ind w:left="364"/>
              <w:jc w:val="both"/>
              <w:rPr>
                <w:rFonts w:ascii="Times New Roman" w:hAnsi="Times New Roman" w:cs="Times New Roman"/>
                <w:b/>
                <w:sz w:val="24"/>
                <w:szCs w:val="24"/>
              </w:rPr>
            </w:pPr>
            <w:r w:rsidRPr="0049024C">
              <w:rPr>
                <w:rFonts w:ascii="Times New Roman" w:hAnsi="Times New Roman" w:cs="Times New Roman"/>
                <w:b/>
                <w:sz w:val="24"/>
                <w:szCs w:val="24"/>
              </w:rPr>
              <w:t>Technical capacity:</w:t>
            </w:r>
          </w:p>
          <w:p w:rsidR="009D0B56" w:rsidRPr="00193015" w:rsidRDefault="009D0B56" w:rsidP="00193015">
            <w:pPr>
              <w:numPr>
                <w:ilvl w:val="0"/>
                <w:numId w:val="44"/>
              </w:numPr>
              <w:tabs>
                <w:tab w:val="clear" w:pos="720"/>
              </w:tabs>
              <w:suppressAutoHyphens w:val="0"/>
              <w:spacing w:before="120" w:after="120" w:line="240" w:lineRule="auto"/>
              <w:ind w:left="364"/>
              <w:jc w:val="both"/>
              <w:rPr>
                <w:rFonts w:ascii="Times New Roman" w:hAnsi="Times New Roman" w:cs="Times New Roman"/>
                <w:sz w:val="24"/>
                <w:szCs w:val="24"/>
              </w:rPr>
            </w:pPr>
            <w:r w:rsidRPr="0049024C">
              <w:rPr>
                <w:rFonts w:ascii="Times New Roman" w:hAnsi="Times New Roman" w:cs="Times New Roman"/>
                <w:b/>
                <w:sz w:val="24"/>
                <w:szCs w:val="24"/>
              </w:rPr>
              <w:t>Tenderer's experience.</w:t>
            </w:r>
            <w:r w:rsidRPr="00193015">
              <w:rPr>
                <w:rFonts w:ascii="Times New Roman" w:hAnsi="Times New Roman" w:cs="Times New Roman"/>
                <w:b/>
                <w:sz w:val="24"/>
                <w:szCs w:val="24"/>
              </w:rPr>
              <w:t xml:space="preserve"> </w:t>
            </w:r>
            <w:r w:rsidR="00800465" w:rsidRPr="00193015">
              <w:rPr>
                <w:rFonts w:ascii="Times New Roman" w:hAnsi="Times New Roman" w:cs="Times New Roman"/>
                <w:sz w:val="24"/>
                <w:szCs w:val="24"/>
              </w:rPr>
              <w:t>Tenderer has to prove that, from the 01.01.2011. until the date of the publication of contract procurement notice, had completed works on construction, reconstruction or upgrading of construction buildings of similar nature and/or complexity of the subject building *, at least</w:t>
            </w:r>
            <w:r w:rsidRPr="00193015">
              <w:rPr>
                <w:rFonts w:ascii="Times New Roman" w:hAnsi="Times New Roman" w:cs="Times New Roman"/>
                <w:sz w:val="24"/>
                <w:szCs w:val="24"/>
              </w:rPr>
              <w:t xml:space="preserve">: </w:t>
            </w:r>
          </w:p>
          <w:p w:rsidR="009D0B56" w:rsidRPr="0049024C" w:rsidRDefault="009D0B56" w:rsidP="00193015">
            <w:pPr>
              <w:pStyle w:val="ListParagraph"/>
              <w:widowControl w:val="0"/>
              <w:numPr>
                <w:ilvl w:val="0"/>
                <w:numId w:val="37"/>
              </w:numPr>
              <w:tabs>
                <w:tab w:val="clear" w:pos="720"/>
              </w:tabs>
              <w:spacing w:before="120" w:after="120" w:line="240" w:lineRule="auto"/>
              <w:ind w:left="607"/>
              <w:contextualSpacing/>
              <w:rPr>
                <w:rFonts w:ascii="Times New Roman" w:hAnsi="Times New Roman" w:cs="Times New Roman"/>
                <w:sz w:val="24"/>
                <w:szCs w:val="24"/>
              </w:rPr>
            </w:pPr>
            <w:r w:rsidRPr="0049024C">
              <w:rPr>
                <w:rFonts w:ascii="Times New Roman" w:hAnsi="Times New Roman" w:cs="Times New Roman"/>
                <w:sz w:val="24"/>
                <w:szCs w:val="24"/>
              </w:rPr>
              <w:t>For Lot 1: building/buildings of minimal gross area of 15,000 m</w:t>
            </w:r>
            <w:r w:rsidRPr="00193015">
              <w:rPr>
                <w:rFonts w:ascii="Times New Roman" w:hAnsi="Times New Roman" w:cs="Times New Roman"/>
                <w:sz w:val="24"/>
                <w:szCs w:val="24"/>
              </w:rPr>
              <w:t>2</w:t>
            </w:r>
            <w:r w:rsidRPr="0049024C">
              <w:rPr>
                <w:rFonts w:ascii="Times New Roman" w:hAnsi="Times New Roman" w:cs="Times New Roman"/>
                <w:sz w:val="24"/>
                <w:szCs w:val="24"/>
              </w:rPr>
              <w:t xml:space="preserve"> in total</w:t>
            </w:r>
          </w:p>
          <w:p w:rsidR="009D0B56" w:rsidRPr="0049024C" w:rsidRDefault="009D0B56" w:rsidP="00193015">
            <w:pPr>
              <w:pStyle w:val="ListParagraph"/>
              <w:widowControl w:val="0"/>
              <w:numPr>
                <w:ilvl w:val="0"/>
                <w:numId w:val="37"/>
              </w:numPr>
              <w:tabs>
                <w:tab w:val="clear" w:pos="720"/>
              </w:tabs>
              <w:spacing w:before="120" w:after="120" w:line="240" w:lineRule="auto"/>
              <w:ind w:left="607"/>
              <w:contextualSpacing/>
              <w:rPr>
                <w:rFonts w:ascii="Times New Roman" w:hAnsi="Times New Roman" w:cs="Times New Roman"/>
                <w:sz w:val="24"/>
                <w:szCs w:val="24"/>
              </w:rPr>
            </w:pPr>
            <w:r w:rsidRPr="0049024C">
              <w:rPr>
                <w:rFonts w:ascii="Times New Roman" w:hAnsi="Times New Roman" w:cs="Times New Roman"/>
                <w:sz w:val="24"/>
                <w:szCs w:val="24"/>
              </w:rPr>
              <w:t>For Lot 2: building/buildings of minimal gross area of 12,000 m</w:t>
            </w:r>
            <w:r w:rsidRPr="00193015">
              <w:rPr>
                <w:rFonts w:ascii="Times New Roman" w:hAnsi="Times New Roman" w:cs="Times New Roman"/>
                <w:sz w:val="24"/>
                <w:szCs w:val="24"/>
              </w:rPr>
              <w:t>2</w:t>
            </w:r>
            <w:r w:rsidRPr="0049024C">
              <w:rPr>
                <w:rFonts w:ascii="Times New Roman" w:hAnsi="Times New Roman" w:cs="Times New Roman"/>
                <w:sz w:val="24"/>
                <w:szCs w:val="24"/>
              </w:rPr>
              <w:t xml:space="preserve"> in total</w:t>
            </w:r>
          </w:p>
          <w:p w:rsidR="009D0B56" w:rsidRPr="0049024C" w:rsidRDefault="009D0B56" w:rsidP="00193015">
            <w:pPr>
              <w:tabs>
                <w:tab w:val="clear" w:pos="720"/>
                <w:tab w:val="left" w:pos="-1440"/>
                <w:tab w:val="left" w:pos="323"/>
              </w:tabs>
              <w:spacing w:before="120" w:after="120" w:line="240" w:lineRule="auto"/>
              <w:ind w:left="364" w:right="8"/>
              <w:jc w:val="both"/>
              <w:rPr>
                <w:rFonts w:ascii="Times New Roman" w:eastAsia="Calibri" w:hAnsi="Times New Roman" w:cs="Times New Roman"/>
                <w:sz w:val="24"/>
                <w:szCs w:val="24"/>
              </w:rPr>
            </w:pPr>
            <w:r w:rsidRPr="0049024C">
              <w:rPr>
                <w:rFonts w:ascii="Times New Roman" w:hAnsi="Times New Roman" w:cs="Times New Roman"/>
                <w:sz w:val="24"/>
                <w:szCs w:val="24"/>
              </w:rPr>
              <w:t xml:space="preserve">If the tenderer submits tender for several lots, they have to prove at least a sum of buildings and minimal total gross areas in the course of past five years for lots they tender for. </w:t>
            </w:r>
            <w:r w:rsidRPr="0049024C">
              <w:rPr>
                <w:rFonts w:ascii="Times New Roman" w:eastAsia="Calibri" w:hAnsi="Times New Roman" w:cs="Times New Roman"/>
                <w:sz w:val="24"/>
                <w:szCs w:val="24"/>
              </w:rPr>
              <w:t>Leading partner of a joint venture/consortium shall fulfil at least 50% of this condition.</w:t>
            </w:r>
          </w:p>
          <w:p w:rsidR="009D0B56" w:rsidRPr="00193015" w:rsidRDefault="009D0B56" w:rsidP="00193015">
            <w:pPr>
              <w:numPr>
                <w:ilvl w:val="0"/>
                <w:numId w:val="44"/>
              </w:numPr>
              <w:tabs>
                <w:tab w:val="clear" w:pos="720"/>
              </w:tabs>
              <w:suppressAutoHyphens w:val="0"/>
              <w:spacing w:before="120" w:after="120" w:line="240" w:lineRule="auto"/>
              <w:ind w:left="364"/>
              <w:jc w:val="both"/>
              <w:rPr>
                <w:rFonts w:ascii="Times New Roman" w:hAnsi="Times New Roman" w:cs="Times New Roman"/>
                <w:sz w:val="24"/>
                <w:szCs w:val="24"/>
              </w:rPr>
            </w:pPr>
            <w:r w:rsidRPr="00193015">
              <w:rPr>
                <w:rFonts w:ascii="Times New Roman" w:hAnsi="Times New Roman" w:cs="Times New Roman"/>
                <w:b/>
                <w:sz w:val="24"/>
                <w:szCs w:val="24"/>
              </w:rPr>
              <w:t xml:space="preserve">Standards and certificates. </w:t>
            </w:r>
            <w:r w:rsidRPr="00193015">
              <w:rPr>
                <w:rFonts w:ascii="Times New Roman" w:hAnsi="Times New Roman" w:cs="Times New Roman"/>
                <w:sz w:val="24"/>
                <w:szCs w:val="24"/>
              </w:rPr>
              <w:t>The tenderer must hold the following certificates in the area of civil engineering:</w:t>
            </w:r>
          </w:p>
          <w:p w:rsidR="009D0B56" w:rsidRPr="00193015" w:rsidRDefault="001B4A29" w:rsidP="00193015">
            <w:pPr>
              <w:pStyle w:val="ListParagraph"/>
              <w:widowControl w:val="0"/>
              <w:numPr>
                <w:ilvl w:val="0"/>
                <w:numId w:val="37"/>
              </w:numPr>
              <w:tabs>
                <w:tab w:val="clear" w:pos="720"/>
              </w:tabs>
              <w:spacing w:before="120" w:after="120" w:line="240" w:lineRule="auto"/>
              <w:ind w:left="607"/>
              <w:contextualSpacing/>
              <w:rPr>
                <w:rFonts w:ascii="Times New Roman" w:hAnsi="Times New Roman" w:cs="Times New Roman"/>
                <w:sz w:val="24"/>
                <w:szCs w:val="24"/>
              </w:rPr>
            </w:pPr>
            <w:r w:rsidRPr="00193015">
              <w:rPr>
                <w:rFonts w:ascii="Times New Roman" w:hAnsi="Times New Roman" w:cs="Times New Roman"/>
                <w:sz w:val="24"/>
                <w:szCs w:val="24"/>
              </w:rPr>
              <w:t>ISO 9001</w:t>
            </w:r>
            <w:r w:rsidR="009D0B56" w:rsidRPr="00193015">
              <w:rPr>
                <w:rFonts w:ascii="Times New Roman" w:hAnsi="Times New Roman" w:cs="Times New Roman"/>
                <w:sz w:val="24"/>
                <w:szCs w:val="24"/>
              </w:rPr>
              <w:tab/>
              <w:t>Quality Assurance System;</w:t>
            </w:r>
          </w:p>
          <w:p w:rsidR="009D0B56" w:rsidRPr="00193015" w:rsidRDefault="009D0B56" w:rsidP="00193015">
            <w:pPr>
              <w:tabs>
                <w:tab w:val="clear" w:pos="720"/>
                <w:tab w:val="left" w:pos="-1440"/>
                <w:tab w:val="left" w:pos="323"/>
              </w:tabs>
              <w:spacing w:before="120" w:after="120" w:line="240" w:lineRule="auto"/>
              <w:ind w:left="364" w:right="8"/>
              <w:jc w:val="both"/>
              <w:rPr>
                <w:rFonts w:ascii="Times New Roman" w:hAnsi="Times New Roman" w:cs="Times New Roman"/>
                <w:sz w:val="24"/>
                <w:szCs w:val="24"/>
              </w:rPr>
            </w:pPr>
            <w:r w:rsidRPr="00193015">
              <w:rPr>
                <w:rFonts w:ascii="Times New Roman" w:hAnsi="Times New Roman" w:cs="Times New Roman"/>
                <w:sz w:val="24"/>
                <w:szCs w:val="24"/>
              </w:rPr>
              <w:t>Taking into account the transitional period for implementation of new certificate from 2015, ISO 9001:2008 will also be accepted.</w:t>
            </w:r>
          </w:p>
          <w:p w:rsidR="009D0B56" w:rsidRPr="00193015" w:rsidRDefault="009D0B56" w:rsidP="00193015">
            <w:pPr>
              <w:tabs>
                <w:tab w:val="clear" w:pos="720"/>
                <w:tab w:val="left" w:pos="-1440"/>
                <w:tab w:val="left" w:pos="323"/>
              </w:tabs>
              <w:spacing w:before="120" w:after="120" w:line="240" w:lineRule="auto"/>
              <w:ind w:left="364" w:right="8"/>
              <w:jc w:val="both"/>
              <w:rPr>
                <w:rFonts w:ascii="Times New Roman" w:hAnsi="Times New Roman" w:cs="Times New Roman"/>
                <w:sz w:val="24"/>
                <w:szCs w:val="24"/>
              </w:rPr>
            </w:pPr>
            <w:r w:rsidRPr="00193015">
              <w:rPr>
                <w:rFonts w:ascii="Times New Roman" w:hAnsi="Times New Roman" w:cs="Times New Roman"/>
                <w:sz w:val="24"/>
                <w:szCs w:val="24"/>
              </w:rPr>
              <w:t xml:space="preserve">Technical capacity in terms of standards and certificates shall be fulfilled jointly by a joint venture/consortium.   </w:t>
            </w:r>
          </w:p>
          <w:p w:rsidR="009D0B56" w:rsidRPr="0049024C" w:rsidRDefault="009D0B56" w:rsidP="00193015">
            <w:pPr>
              <w:spacing w:before="120" w:after="120" w:line="240" w:lineRule="auto"/>
              <w:jc w:val="both"/>
              <w:rPr>
                <w:rFonts w:ascii="Times New Roman" w:hAnsi="Times New Roman" w:cs="Times New Roman"/>
                <w:sz w:val="24"/>
                <w:szCs w:val="24"/>
              </w:rPr>
            </w:pPr>
          </w:p>
          <w:p w:rsidR="009D0B56" w:rsidRPr="00193015" w:rsidRDefault="009D0B56" w:rsidP="00193015">
            <w:pPr>
              <w:numPr>
                <w:ilvl w:val="0"/>
                <w:numId w:val="44"/>
              </w:numPr>
              <w:tabs>
                <w:tab w:val="clear" w:pos="720"/>
              </w:tabs>
              <w:suppressAutoHyphens w:val="0"/>
              <w:spacing w:before="120" w:after="120" w:line="240" w:lineRule="auto"/>
              <w:ind w:left="364"/>
              <w:jc w:val="both"/>
              <w:rPr>
                <w:rFonts w:ascii="Times New Roman" w:hAnsi="Times New Roman" w:cs="Times New Roman"/>
                <w:b/>
                <w:sz w:val="24"/>
                <w:szCs w:val="24"/>
              </w:rPr>
            </w:pPr>
            <w:r w:rsidRPr="00193015">
              <w:rPr>
                <w:rFonts w:ascii="Times New Roman" w:hAnsi="Times New Roman" w:cs="Times New Roman"/>
                <w:b/>
                <w:sz w:val="24"/>
                <w:szCs w:val="24"/>
              </w:rPr>
              <w:t xml:space="preserve">Machinery and equipment </w:t>
            </w:r>
          </w:p>
          <w:p w:rsidR="009D0B56" w:rsidRPr="0049024C" w:rsidRDefault="009D0B56" w:rsidP="00193015">
            <w:pPr>
              <w:tabs>
                <w:tab w:val="right" w:pos="9072"/>
              </w:tabs>
              <w:spacing w:before="120" w:after="120" w:line="240" w:lineRule="auto"/>
              <w:ind w:left="720" w:right="8"/>
              <w:contextualSpacing/>
              <w:rPr>
                <w:rFonts w:ascii="Times New Roman" w:hAnsi="Times New Roman" w:cs="Times New Roman"/>
                <w:sz w:val="20"/>
              </w:rPr>
            </w:pPr>
          </w:p>
          <w:tbl>
            <w:tblPr>
              <w:tblW w:w="822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1276"/>
            </w:tblGrid>
            <w:tr w:rsidR="009D0B56" w:rsidRPr="0049024C" w:rsidTr="009D0B56">
              <w:trPr>
                <w:trHeight w:val="284"/>
              </w:trPr>
              <w:tc>
                <w:tcPr>
                  <w:tcW w:w="709" w:type="dxa"/>
                  <w:shd w:val="clear" w:color="auto" w:fill="F2F2F2"/>
                  <w:vAlign w:val="center"/>
                </w:tcPr>
                <w:p w:rsidR="009D0B56" w:rsidRPr="0049024C" w:rsidRDefault="009D0B56" w:rsidP="00193015">
                  <w:pPr>
                    <w:spacing w:before="120" w:after="120" w:line="240" w:lineRule="auto"/>
                    <w:rPr>
                      <w:rFonts w:ascii="Times New Roman" w:eastAsia="Calibri" w:hAnsi="Times New Roman" w:cs="Times New Roman"/>
                      <w:sz w:val="20"/>
                    </w:rPr>
                  </w:pPr>
                  <w:r w:rsidRPr="0049024C">
                    <w:rPr>
                      <w:rFonts w:ascii="Times New Roman" w:eastAsia="Calibri" w:hAnsi="Times New Roman" w:cs="Times New Roman"/>
                      <w:sz w:val="20"/>
                    </w:rPr>
                    <w:lastRenderedPageBreak/>
                    <w:t>No.</w:t>
                  </w:r>
                </w:p>
              </w:tc>
              <w:tc>
                <w:tcPr>
                  <w:tcW w:w="6237" w:type="dxa"/>
                  <w:shd w:val="clear" w:color="auto" w:fill="F2F2F2"/>
                  <w:vAlign w:val="center"/>
                </w:tcPr>
                <w:p w:rsidR="009D0B56" w:rsidRPr="0049024C" w:rsidRDefault="009D0B56" w:rsidP="00193015">
                  <w:pPr>
                    <w:spacing w:before="120" w:after="120" w:line="240" w:lineRule="auto"/>
                    <w:jc w:val="center"/>
                    <w:rPr>
                      <w:rFonts w:ascii="Times New Roman" w:eastAsia="Calibri" w:hAnsi="Times New Roman" w:cs="Times New Roman"/>
                      <w:sz w:val="20"/>
                    </w:rPr>
                  </w:pPr>
                  <w:r w:rsidRPr="0049024C">
                    <w:rPr>
                      <w:rFonts w:ascii="Times New Roman" w:eastAsia="Calibri" w:hAnsi="Times New Roman" w:cs="Times New Roman"/>
                      <w:sz w:val="20"/>
                    </w:rPr>
                    <w:t>Name of the machinery and equipment</w:t>
                  </w:r>
                </w:p>
              </w:tc>
              <w:tc>
                <w:tcPr>
                  <w:tcW w:w="1276" w:type="dxa"/>
                  <w:shd w:val="clear" w:color="auto" w:fill="F2F2F2"/>
                  <w:vAlign w:val="center"/>
                </w:tcPr>
                <w:p w:rsidR="009D0B56" w:rsidRPr="0049024C" w:rsidRDefault="009D0B56" w:rsidP="00193015">
                  <w:pPr>
                    <w:spacing w:before="120" w:after="120" w:line="240" w:lineRule="auto"/>
                    <w:jc w:val="center"/>
                    <w:rPr>
                      <w:rFonts w:ascii="Times New Roman" w:eastAsia="Calibri" w:hAnsi="Times New Roman" w:cs="Times New Roman"/>
                      <w:sz w:val="20"/>
                    </w:rPr>
                  </w:pPr>
                  <w:r w:rsidRPr="0049024C">
                    <w:rPr>
                      <w:rFonts w:ascii="Times New Roman" w:eastAsia="Calibri" w:hAnsi="Times New Roman" w:cs="Times New Roman"/>
                      <w:sz w:val="20"/>
                    </w:rPr>
                    <w:t>Number of pieces</w:t>
                  </w:r>
                </w:p>
              </w:tc>
            </w:tr>
            <w:tr w:rsidR="009D0B56" w:rsidRPr="0049024C" w:rsidTr="009D0B56">
              <w:trPr>
                <w:trHeight w:val="284"/>
              </w:trPr>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rPr>
                  </w:pPr>
                  <w:r w:rsidRPr="0049024C">
                    <w:rPr>
                      <w:rFonts w:ascii="Times New Roman" w:eastAsia="Calibri" w:hAnsi="Times New Roman" w:cs="Times New Roman"/>
                      <w:sz w:val="20"/>
                    </w:rPr>
                    <w:t>1.</w:t>
                  </w:r>
                </w:p>
              </w:tc>
              <w:tc>
                <w:tcPr>
                  <w:tcW w:w="6237" w:type="dxa"/>
                  <w:vAlign w:val="center"/>
                </w:tcPr>
                <w:p w:rsidR="009D0B56" w:rsidRPr="0049024C" w:rsidRDefault="009D0B56" w:rsidP="00193015">
                  <w:pPr>
                    <w:spacing w:before="120" w:after="120" w:line="240" w:lineRule="auto"/>
                    <w:rPr>
                      <w:rFonts w:ascii="Times New Roman" w:eastAsia="Calibri" w:hAnsi="Times New Roman" w:cs="Times New Roman"/>
                      <w:sz w:val="20"/>
                    </w:rPr>
                  </w:pPr>
                  <w:r w:rsidRPr="0049024C">
                    <w:rPr>
                      <w:rFonts w:ascii="Times New Roman" w:eastAsia="Calibri" w:hAnsi="Times New Roman" w:cs="Times New Roman"/>
                      <w:sz w:val="20"/>
                    </w:rPr>
                    <w:t xml:space="preserve">Truck, minimal capacity of 5 t </w:t>
                  </w:r>
                </w:p>
              </w:tc>
              <w:tc>
                <w:tcPr>
                  <w:tcW w:w="1276"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rPr>
                  </w:pPr>
                  <w:r w:rsidRPr="0049024C">
                    <w:rPr>
                      <w:rFonts w:ascii="Times New Roman" w:eastAsia="Calibri" w:hAnsi="Times New Roman" w:cs="Times New Roman"/>
                      <w:sz w:val="20"/>
                    </w:rPr>
                    <w:t>2</w:t>
                  </w:r>
                </w:p>
              </w:tc>
            </w:tr>
            <w:tr w:rsidR="009D0B56" w:rsidRPr="0049024C" w:rsidTr="009D0B56">
              <w:trPr>
                <w:trHeight w:val="284"/>
              </w:trPr>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rPr>
                  </w:pPr>
                  <w:r w:rsidRPr="0049024C">
                    <w:rPr>
                      <w:rFonts w:ascii="Times New Roman" w:eastAsia="Calibri" w:hAnsi="Times New Roman" w:cs="Times New Roman"/>
                      <w:sz w:val="20"/>
                    </w:rPr>
                    <w:t>2.</w:t>
                  </w:r>
                </w:p>
              </w:tc>
              <w:tc>
                <w:tcPr>
                  <w:tcW w:w="6237" w:type="dxa"/>
                  <w:vAlign w:val="center"/>
                </w:tcPr>
                <w:p w:rsidR="009D0B56" w:rsidRPr="0049024C" w:rsidRDefault="009D0B56" w:rsidP="00193015">
                  <w:pPr>
                    <w:spacing w:before="120" w:after="120" w:line="240" w:lineRule="auto"/>
                    <w:rPr>
                      <w:rFonts w:ascii="Times New Roman" w:eastAsia="Calibri" w:hAnsi="Times New Roman" w:cs="Times New Roman"/>
                      <w:sz w:val="20"/>
                    </w:rPr>
                  </w:pPr>
                  <w:r w:rsidRPr="0049024C">
                    <w:rPr>
                      <w:rFonts w:ascii="Times New Roman" w:eastAsia="Calibri" w:hAnsi="Times New Roman" w:cs="Times New Roman"/>
                      <w:sz w:val="20"/>
                    </w:rPr>
                    <w:t>Construction crane of minimal capacity of 400kg</w:t>
                  </w:r>
                </w:p>
              </w:tc>
              <w:tc>
                <w:tcPr>
                  <w:tcW w:w="1276"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rPr>
                  </w:pPr>
                  <w:r w:rsidRPr="0049024C">
                    <w:rPr>
                      <w:rFonts w:ascii="Times New Roman" w:eastAsia="Calibri" w:hAnsi="Times New Roman" w:cs="Times New Roman"/>
                      <w:sz w:val="20"/>
                    </w:rPr>
                    <w:t>2</w:t>
                  </w:r>
                </w:p>
              </w:tc>
            </w:tr>
            <w:tr w:rsidR="009D0B56" w:rsidRPr="0049024C" w:rsidTr="009D0B56">
              <w:trPr>
                <w:trHeight w:val="284"/>
              </w:trPr>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rPr>
                  </w:pPr>
                  <w:r w:rsidRPr="0049024C">
                    <w:rPr>
                      <w:rFonts w:ascii="Times New Roman" w:eastAsia="Calibri" w:hAnsi="Times New Roman" w:cs="Times New Roman"/>
                      <w:sz w:val="20"/>
                    </w:rPr>
                    <w:t>3.</w:t>
                  </w:r>
                </w:p>
              </w:tc>
              <w:tc>
                <w:tcPr>
                  <w:tcW w:w="6237" w:type="dxa"/>
                  <w:vAlign w:val="center"/>
                </w:tcPr>
                <w:p w:rsidR="009D0B56" w:rsidRPr="0049024C" w:rsidRDefault="009D0B56" w:rsidP="00193015">
                  <w:pPr>
                    <w:spacing w:before="120" w:after="120" w:line="240" w:lineRule="auto"/>
                    <w:rPr>
                      <w:rFonts w:ascii="Times New Roman" w:eastAsia="Calibri" w:hAnsi="Times New Roman" w:cs="Times New Roman"/>
                      <w:sz w:val="20"/>
                    </w:rPr>
                  </w:pPr>
                  <w:r w:rsidRPr="0049024C">
                    <w:rPr>
                      <w:rFonts w:ascii="Times New Roman" w:eastAsia="Calibri" w:hAnsi="Times New Roman" w:cs="Times New Roman"/>
                      <w:sz w:val="20"/>
                    </w:rPr>
                    <w:t xml:space="preserve">One tower crane, minimal height of 15m and minimal capacity of 2 tons or two </w:t>
                  </w:r>
                  <w:proofErr w:type="spellStart"/>
                  <w:r w:rsidRPr="0049024C">
                    <w:rPr>
                      <w:rFonts w:ascii="Times New Roman" w:eastAsia="Calibri" w:hAnsi="Times New Roman" w:cs="Times New Roman"/>
                      <w:sz w:val="20"/>
                    </w:rPr>
                    <w:t>truck.mounted</w:t>
                  </w:r>
                  <w:proofErr w:type="spellEnd"/>
                  <w:r w:rsidRPr="0049024C">
                    <w:rPr>
                      <w:rFonts w:ascii="Times New Roman" w:eastAsia="Calibri" w:hAnsi="Times New Roman" w:cs="Times New Roman"/>
                      <w:sz w:val="20"/>
                    </w:rPr>
                    <w:t xml:space="preserve"> cranes of minimal capacity of 2 tons</w:t>
                  </w:r>
                </w:p>
              </w:tc>
              <w:tc>
                <w:tcPr>
                  <w:tcW w:w="1276"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rPr>
                  </w:pPr>
                  <w:r w:rsidRPr="0049024C">
                    <w:rPr>
                      <w:rFonts w:ascii="Times New Roman" w:eastAsia="Calibri" w:hAnsi="Times New Roman" w:cs="Times New Roman"/>
                      <w:sz w:val="20"/>
                    </w:rPr>
                    <w:t>1/2</w:t>
                  </w:r>
                </w:p>
              </w:tc>
            </w:tr>
            <w:tr w:rsidR="009D0B56" w:rsidRPr="0049024C" w:rsidTr="009D0B56">
              <w:trPr>
                <w:trHeight w:val="284"/>
              </w:trPr>
              <w:tc>
                <w:tcPr>
                  <w:tcW w:w="709"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rPr>
                  </w:pPr>
                  <w:r w:rsidRPr="0049024C">
                    <w:rPr>
                      <w:rFonts w:ascii="Times New Roman" w:eastAsia="Calibri" w:hAnsi="Times New Roman" w:cs="Times New Roman"/>
                      <w:sz w:val="20"/>
                    </w:rPr>
                    <w:t>4.</w:t>
                  </w:r>
                </w:p>
              </w:tc>
              <w:tc>
                <w:tcPr>
                  <w:tcW w:w="6237" w:type="dxa"/>
                  <w:vAlign w:val="center"/>
                </w:tcPr>
                <w:p w:rsidR="009D0B56" w:rsidRPr="0049024C" w:rsidRDefault="009D0B56" w:rsidP="00193015">
                  <w:pPr>
                    <w:spacing w:before="120" w:after="120" w:line="240" w:lineRule="auto"/>
                    <w:rPr>
                      <w:rFonts w:ascii="Times New Roman" w:eastAsia="Calibri" w:hAnsi="Times New Roman" w:cs="Times New Roman"/>
                      <w:sz w:val="20"/>
                    </w:rPr>
                  </w:pPr>
                  <w:r w:rsidRPr="0049024C">
                    <w:rPr>
                      <w:rFonts w:ascii="Times New Roman" w:eastAsia="Calibri" w:hAnsi="Times New Roman" w:cs="Times New Roman"/>
                      <w:sz w:val="20"/>
                    </w:rPr>
                    <w:t>Scaffolding (tubular or frame)</w:t>
                  </w:r>
                </w:p>
              </w:tc>
              <w:tc>
                <w:tcPr>
                  <w:tcW w:w="1276" w:type="dxa"/>
                  <w:vAlign w:val="center"/>
                </w:tcPr>
                <w:p w:rsidR="009D0B56" w:rsidRPr="0049024C" w:rsidRDefault="009D0B56" w:rsidP="00193015">
                  <w:pPr>
                    <w:spacing w:before="120" w:after="120" w:line="240" w:lineRule="auto"/>
                    <w:jc w:val="center"/>
                    <w:rPr>
                      <w:rFonts w:ascii="Times New Roman" w:eastAsia="Calibri" w:hAnsi="Times New Roman" w:cs="Times New Roman"/>
                      <w:sz w:val="20"/>
                    </w:rPr>
                  </w:pPr>
                  <w:r w:rsidRPr="0049024C">
                    <w:rPr>
                      <w:rFonts w:ascii="Times New Roman" w:eastAsia="Calibri" w:hAnsi="Times New Roman" w:cs="Times New Roman"/>
                      <w:sz w:val="20"/>
                    </w:rPr>
                    <w:t>Minimal  10.000 m</w:t>
                  </w:r>
                  <w:r w:rsidRPr="0049024C">
                    <w:rPr>
                      <w:rFonts w:ascii="Times New Roman" w:eastAsia="Calibri" w:hAnsi="Times New Roman" w:cs="Times New Roman"/>
                      <w:sz w:val="20"/>
                      <w:vertAlign w:val="superscript"/>
                    </w:rPr>
                    <w:t>2</w:t>
                  </w:r>
                </w:p>
              </w:tc>
            </w:tr>
          </w:tbl>
          <w:p w:rsidR="004A4FD9" w:rsidRPr="0049024C" w:rsidRDefault="009D0B56" w:rsidP="00193015">
            <w:pPr>
              <w:tabs>
                <w:tab w:val="clear" w:pos="720"/>
              </w:tabs>
              <w:suppressAutoHyphens w:val="0"/>
              <w:spacing w:before="120" w:after="120" w:line="240" w:lineRule="auto"/>
              <w:jc w:val="both"/>
              <w:rPr>
                <w:rFonts w:ascii="Times New Roman" w:eastAsia="Calibri" w:hAnsi="Times New Roman" w:cs="Times New Roman"/>
                <w:color w:val="auto"/>
                <w:sz w:val="24"/>
                <w:szCs w:val="20"/>
              </w:rPr>
            </w:pPr>
            <w:r w:rsidRPr="0049024C">
              <w:rPr>
                <w:rFonts w:ascii="Times New Roman" w:eastAsia="Calibri" w:hAnsi="Times New Roman" w:cs="Times New Roman"/>
                <w:color w:val="auto"/>
                <w:sz w:val="24"/>
                <w:szCs w:val="20"/>
              </w:rPr>
              <w:t>The tenderer shall supply a Statement on possession/renting of machinery and equipment for the contract execution (</w:t>
            </w:r>
            <w:r w:rsidR="00193015" w:rsidRPr="00193015">
              <w:rPr>
                <w:rFonts w:ascii="Times New Roman" w:hAnsi="Times New Roman" w:cs="Times New Roman"/>
                <w:sz w:val="24"/>
                <w:szCs w:val="24"/>
              </w:rPr>
              <w:t>Volume 1</w:t>
            </w:r>
            <w:r w:rsidR="00193015">
              <w:rPr>
                <w:rFonts w:ascii="Times New Roman" w:hAnsi="Times New Roman" w:cs="Times New Roman"/>
                <w:sz w:val="24"/>
                <w:szCs w:val="24"/>
              </w:rPr>
              <w:t>:</w:t>
            </w:r>
            <w:r w:rsidR="00193015" w:rsidRPr="00193015">
              <w:rPr>
                <w:rFonts w:ascii="Times New Roman" w:hAnsi="Times New Roman" w:cs="Times New Roman"/>
                <w:sz w:val="24"/>
                <w:szCs w:val="24"/>
              </w:rPr>
              <w:t xml:space="preserve"> Instructions to Tenderers</w:t>
            </w:r>
            <w:r w:rsidR="00193015">
              <w:rPr>
                <w:rFonts w:ascii="Times New Roman" w:eastAsia="Calibri" w:hAnsi="Times New Roman" w:cs="Times New Roman"/>
                <w:color w:val="auto"/>
                <w:sz w:val="24"/>
                <w:szCs w:val="20"/>
              </w:rPr>
              <w:t xml:space="preserve">, </w:t>
            </w:r>
            <w:r w:rsidRPr="0049024C">
              <w:rPr>
                <w:rFonts w:ascii="Times New Roman" w:eastAsia="Calibri" w:hAnsi="Times New Roman" w:cs="Times New Roman"/>
                <w:color w:val="auto"/>
                <w:sz w:val="24"/>
                <w:szCs w:val="20"/>
              </w:rPr>
              <w:t xml:space="preserve">Form 4.6.2) which shall contain </w:t>
            </w:r>
            <w:r w:rsidR="00105F3A" w:rsidRPr="0049024C">
              <w:rPr>
                <w:rFonts w:ascii="Times New Roman" w:eastAsia="Calibri" w:hAnsi="Times New Roman" w:cs="Times New Roman"/>
                <w:color w:val="auto"/>
                <w:sz w:val="24"/>
                <w:szCs w:val="20"/>
              </w:rPr>
              <w:t xml:space="preserve">required </w:t>
            </w:r>
            <w:r w:rsidRPr="0049024C">
              <w:rPr>
                <w:rFonts w:ascii="Times New Roman" w:eastAsia="Calibri" w:hAnsi="Times New Roman" w:cs="Times New Roman"/>
                <w:color w:val="auto"/>
                <w:sz w:val="24"/>
                <w:szCs w:val="20"/>
              </w:rPr>
              <w:t>machinery and equipment. If the tenderer submits tenders for both lots, the subject Statement must comprise a sum of required machinery and equipment for both lots. All members of a joint venture/consortium and subcontractors collectively fulfil the condition.</w:t>
            </w:r>
          </w:p>
        </w:tc>
      </w:tr>
      <w:tr w:rsidR="00034785" w:rsidRPr="00034785" w:rsidTr="00445788">
        <w:tc>
          <w:tcPr>
            <w:tcW w:w="301" w:type="pct"/>
            <w:shd w:val="clear" w:color="auto" w:fill="FFFFFF" w:themeFill="background1"/>
            <w:tcMar>
              <w:top w:w="0" w:type="dxa"/>
              <w:left w:w="108" w:type="dxa"/>
              <w:bottom w:w="0" w:type="dxa"/>
              <w:right w:w="108" w:type="dxa"/>
            </w:tcMar>
          </w:tcPr>
          <w:p w:rsidR="00034785" w:rsidRPr="00034785" w:rsidRDefault="00034785" w:rsidP="00D5348C">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034785" w:rsidRPr="00034785" w:rsidRDefault="00034785" w:rsidP="00D5348C">
            <w:pPr>
              <w:spacing w:after="0" w:line="240" w:lineRule="auto"/>
              <w:jc w:val="both"/>
              <w:rPr>
                <w:rFonts w:ascii="Times New Roman" w:hAnsi="Times New Roman" w:cs="Times New Roman"/>
                <w:sz w:val="16"/>
                <w:szCs w:val="16"/>
              </w:rPr>
            </w:pPr>
          </w:p>
        </w:tc>
      </w:tr>
      <w:tr w:rsidR="002D6E25" w:rsidRPr="0049024C" w:rsidTr="00445788">
        <w:trPr>
          <w:trHeight w:val="745"/>
        </w:trPr>
        <w:tc>
          <w:tcPr>
            <w:tcW w:w="301" w:type="pct"/>
            <w:shd w:val="clear" w:color="auto" w:fill="FFFFFF"/>
            <w:tcMar>
              <w:top w:w="0" w:type="dxa"/>
              <w:left w:w="108" w:type="dxa"/>
              <w:bottom w:w="0" w:type="dxa"/>
              <w:right w:w="108" w:type="dxa"/>
            </w:tcMar>
          </w:tcPr>
          <w:p w:rsidR="002D6E25" w:rsidRPr="0049024C" w:rsidRDefault="002D6E25"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FFFFFF"/>
            <w:tcMar>
              <w:top w:w="0" w:type="dxa"/>
              <w:left w:w="108" w:type="dxa"/>
              <w:bottom w:w="0" w:type="dxa"/>
              <w:right w:w="108" w:type="dxa"/>
            </w:tcMar>
          </w:tcPr>
          <w:p w:rsidR="002D6E25" w:rsidRPr="0049024C" w:rsidRDefault="00F9698A"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Award criteria (lowest price or most economically advantageous tender), elements of award criteria if most economically advantageous tender criteria is to be used:</w:t>
            </w:r>
          </w:p>
        </w:tc>
      </w:tr>
      <w:tr w:rsidR="002D6E25" w:rsidRPr="0049024C" w:rsidTr="00445788">
        <w:trPr>
          <w:trHeight w:val="1720"/>
        </w:trPr>
        <w:tc>
          <w:tcPr>
            <w:tcW w:w="301" w:type="pct"/>
            <w:shd w:val="clear" w:color="auto" w:fill="FFFFFF"/>
            <w:tcMar>
              <w:top w:w="0" w:type="dxa"/>
              <w:left w:w="108" w:type="dxa"/>
              <w:bottom w:w="0" w:type="dxa"/>
              <w:right w:w="108" w:type="dxa"/>
            </w:tcMar>
          </w:tcPr>
          <w:p w:rsidR="002D6E25" w:rsidRPr="0049024C" w:rsidRDefault="002D6E25" w:rsidP="00193015">
            <w:pPr>
              <w:pStyle w:val="ListParagraph"/>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C6D9F1"/>
            <w:tcMar>
              <w:top w:w="0" w:type="dxa"/>
              <w:left w:w="108" w:type="dxa"/>
              <w:bottom w:w="0" w:type="dxa"/>
              <w:right w:w="108" w:type="dxa"/>
            </w:tcMar>
          </w:tcPr>
          <w:p w:rsidR="00F9698A" w:rsidRPr="0049024C" w:rsidRDefault="00F9698A"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The contract will be awarded to the tenderer whose tender meets all the requirements with lowest price.</w:t>
            </w:r>
          </w:p>
          <w:p w:rsidR="002D6E25" w:rsidRPr="0049024C" w:rsidRDefault="00F9698A"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If two tenders have the same price, preference is given to the tenderer who offered a tender with longer validity period.</w:t>
            </w:r>
          </w:p>
        </w:tc>
      </w:tr>
      <w:tr w:rsidR="00034785" w:rsidRPr="00034785" w:rsidTr="00445788">
        <w:tc>
          <w:tcPr>
            <w:tcW w:w="301" w:type="pct"/>
            <w:shd w:val="clear" w:color="auto" w:fill="FFFFFF" w:themeFill="background1"/>
            <w:tcMar>
              <w:top w:w="0" w:type="dxa"/>
              <w:left w:w="108" w:type="dxa"/>
              <w:bottom w:w="0" w:type="dxa"/>
              <w:right w:w="108" w:type="dxa"/>
            </w:tcMar>
          </w:tcPr>
          <w:p w:rsidR="00034785" w:rsidRPr="00034785" w:rsidRDefault="00034785" w:rsidP="00D5348C">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034785" w:rsidRPr="00034785" w:rsidRDefault="00034785" w:rsidP="00D5348C">
            <w:pPr>
              <w:spacing w:after="0" w:line="240" w:lineRule="auto"/>
              <w:jc w:val="both"/>
              <w:rPr>
                <w:rFonts w:ascii="Times New Roman" w:hAnsi="Times New Roman" w:cs="Times New Roman"/>
                <w:sz w:val="16"/>
                <w:szCs w:val="16"/>
              </w:rPr>
            </w:pPr>
          </w:p>
        </w:tc>
      </w:tr>
      <w:tr w:rsidR="00F9698A" w:rsidRPr="0049024C" w:rsidTr="00445788">
        <w:trPr>
          <w:trHeight w:val="975"/>
        </w:trPr>
        <w:tc>
          <w:tcPr>
            <w:tcW w:w="301" w:type="pct"/>
            <w:shd w:val="clear" w:color="auto" w:fill="FFFFFF"/>
            <w:tcMar>
              <w:top w:w="0" w:type="dxa"/>
              <w:left w:w="108" w:type="dxa"/>
              <w:bottom w:w="0" w:type="dxa"/>
              <w:right w:w="108" w:type="dxa"/>
            </w:tcMar>
          </w:tcPr>
          <w:p w:rsidR="00F9698A" w:rsidRPr="0049024C" w:rsidRDefault="00F9698A"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F9698A" w:rsidRPr="0049024C" w:rsidRDefault="00F9698A"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 xml:space="preserve">Access to tender documents, internet address where tender documents can be downloaded: </w:t>
            </w:r>
          </w:p>
        </w:tc>
        <w:tc>
          <w:tcPr>
            <w:tcW w:w="2917" w:type="pct"/>
            <w:gridSpan w:val="2"/>
            <w:shd w:val="clear" w:color="auto" w:fill="C6D9F1"/>
            <w:tcMar>
              <w:top w:w="0" w:type="dxa"/>
              <w:left w:w="108" w:type="dxa"/>
              <w:bottom w:w="0" w:type="dxa"/>
              <w:right w:w="108" w:type="dxa"/>
            </w:tcMar>
          </w:tcPr>
          <w:p w:rsidR="007C1FAF" w:rsidRPr="00151119" w:rsidRDefault="007C1FAF" w:rsidP="0019301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Tender dossier </w:t>
            </w:r>
            <w:r w:rsidRPr="00151119">
              <w:rPr>
                <w:rFonts w:ascii="Times New Roman" w:hAnsi="Times New Roman" w:cs="Times New Roman"/>
                <w:sz w:val="24"/>
                <w:szCs w:val="24"/>
              </w:rPr>
              <w:t xml:space="preserve">can be taken over at the above mentioned address every working day after publishing of this </w:t>
            </w:r>
            <w:r>
              <w:rPr>
                <w:rFonts w:ascii="Times New Roman" w:hAnsi="Times New Roman" w:cs="Times New Roman"/>
                <w:sz w:val="24"/>
                <w:szCs w:val="24"/>
              </w:rPr>
              <w:t>Procurement Notice between 9am</w:t>
            </w:r>
            <w:r w:rsidRPr="00151119">
              <w:rPr>
                <w:rFonts w:ascii="Times New Roman" w:hAnsi="Times New Roman" w:cs="Times New Roman"/>
                <w:sz w:val="24"/>
                <w:szCs w:val="24"/>
              </w:rPr>
              <w:t xml:space="preserve"> and 3pm, providing authorization for taking over the procurement documents and evidence of payment of </w:t>
            </w:r>
            <w:r>
              <w:rPr>
                <w:rFonts w:ascii="Times New Roman" w:hAnsi="Times New Roman" w:cs="Times New Roman"/>
                <w:sz w:val="24"/>
                <w:szCs w:val="24"/>
              </w:rPr>
              <w:t>1</w:t>
            </w:r>
            <w:r w:rsidRPr="00151119">
              <w:rPr>
                <w:rFonts w:ascii="Times New Roman" w:hAnsi="Times New Roman" w:cs="Times New Roman"/>
                <w:sz w:val="24"/>
                <w:szCs w:val="24"/>
              </w:rPr>
              <w:t xml:space="preserve">50 EUR or equivalent in RSD calculated according to the average exchange rate of the National Bank of Serbia on the day of the payment, for the cost of copying and delivery of procurement documents. The payments are non-refundable. The payment shall be paid to the JUP </w:t>
            </w:r>
            <w:proofErr w:type="spellStart"/>
            <w:r w:rsidRPr="00151119">
              <w:rPr>
                <w:rFonts w:ascii="Times New Roman" w:hAnsi="Times New Roman" w:cs="Times New Roman"/>
                <w:sz w:val="24"/>
                <w:szCs w:val="24"/>
              </w:rPr>
              <w:t>Istraživanje</w:t>
            </w:r>
            <w:proofErr w:type="spellEnd"/>
            <w:r w:rsidRPr="00151119">
              <w:rPr>
                <w:rFonts w:ascii="Times New Roman" w:hAnsi="Times New Roman" w:cs="Times New Roman"/>
                <w:sz w:val="24"/>
                <w:szCs w:val="24"/>
              </w:rPr>
              <w:t xml:space="preserve"> </w:t>
            </w:r>
            <w:proofErr w:type="spellStart"/>
            <w:r w:rsidRPr="00151119">
              <w:rPr>
                <w:rFonts w:ascii="Times New Roman" w:hAnsi="Times New Roman" w:cs="Times New Roman"/>
                <w:sz w:val="24"/>
                <w:szCs w:val="24"/>
              </w:rPr>
              <w:t>i</w:t>
            </w:r>
            <w:proofErr w:type="spellEnd"/>
            <w:r w:rsidRPr="00151119">
              <w:rPr>
                <w:rFonts w:ascii="Times New Roman" w:hAnsi="Times New Roman" w:cs="Times New Roman"/>
                <w:sz w:val="24"/>
                <w:szCs w:val="24"/>
              </w:rPr>
              <w:t xml:space="preserve"> </w:t>
            </w:r>
            <w:proofErr w:type="spellStart"/>
            <w:r w:rsidRPr="00151119">
              <w:rPr>
                <w:rFonts w:ascii="Times New Roman" w:hAnsi="Times New Roman" w:cs="Times New Roman"/>
                <w:sz w:val="24"/>
                <w:szCs w:val="24"/>
              </w:rPr>
              <w:t>razvoj</w:t>
            </w:r>
            <w:proofErr w:type="spellEnd"/>
            <w:r w:rsidRPr="00151119">
              <w:rPr>
                <w:rFonts w:ascii="Times New Roman" w:hAnsi="Times New Roman" w:cs="Times New Roman"/>
                <w:sz w:val="24"/>
                <w:szCs w:val="24"/>
              </w:rPr>
              <w:t xml:space="preserve"> doo Beograd</w:t>
            </w:r>
            <w:r>
              <w:rPr>
                <w:rFonts w:ascii="Times New Roman" w:hAnsi="Times New Roman" w:cs="Times New Roman"/>
                <w:sz w:val="24"/>
                <w:szCs w:val="24"/>
              </w:rPr>
              <w:t>,</w:t>
            </w:r>
            <w:r w:rsidRPr="00151119">
              <w:rPr>
                <w:rFonts w:ascii="Times New Roman" w:hAnsi="Times New Roman" w:cs="Times New Roman"/>
                <w:sz w:val="24"/>
                <w:szCs w:val="24"/>
              </w:rPr>
              <w:t xml:space="preserve"> account at </w:t>
            </w:r>
            <w:proofErr w:type="spellStart"/>
            <w:r w:rsidRPr="00151119">
              <w:rPr>
                <w:rFonts w:ascii="Times New Roman" w:hAnsi="Times New Roman" w:cs="Times New Roman"/>
                <w:sz w:val="24"/>
                <w:szCs w:val="24"/>
              </w:rPr>
              <w:t>Komercijalna</w:t>
            </w:r>
            <w:proofErr w:type="spellEnd"/>
            <w:r w:rsidRPr="00151119">
              <w:rPr>
                <w:rFonts w:ascii="Times New Roman" w:hAnsi="Times New Roman" w:cs="Times New Roman"/>
                <w:sz w:val="24"/>
                <w:szCs w:val="24"/>
              </w:rPr>
              <w:t xml:space="preserve"> Banka ad Beograd No. 205-160097-44, payment purpose indication: „</w:t>
            </w:r>
            <w:r>
              <w:rPr>
                <w:rFonts w:ascii="Times New Roman" w:hAnsi="Times New Roman" w:cs="Times New Roman"/>
                <w:sz w:val="24"/>
                <w:szCs w:val="24"/>
              </w:rPr>
              <w:t>Cost of Tender Dossier</w:t>
            </w:r>
            <w:r w:rsidRPr="00151119">
              <w:rPr>
                <w:rFonts w:ascii="Times New Roman" w:hAnsi="Times New Roman" w:cs="Times New Roman"/>
                <w:sz w:val="24"/>
                <w:szCs w:val="24"/>
              </w:rPr>
              <w:t>”, payment c</w:t>
            </w:r>
            <w:r w:rsidR="00193015">
              <w:rPr>
                <w:rFonts w:ascii="Times New Roman" w:hAnsi="Times New Roman" w:cs="Times New Roman"/>
                <w:sz w:val="24"/>
                <w:szCs w:val="24"/>
              </w:rPr>
              <w:t xml:space="preserve">ode 221, reference number </w:t>
            </w:r>
            <w:r w:rsidR="00193015" w:rsidRPr="00193015">
              <w:rPr>
                <w:rFonts w:ascii="Times New Roman" w:hAnsi="Times New Roman" w:cs="Times New Roman"/>
                <w:sz w:val="24"/>
                <w:szCs w:val="24"/>
              </w:rPr>
              <w:t>RHP-W4-АB/IOP1-2016</w:t>
            </w:r>
            <w:r w:rsidRPr="00151119">
              <w:rPr>
                <w:rFonts w:ascii="Times New Roman" w:hAnsi="Times New Roman" w:cs="Times New Roman"/>
                <w:sz w:val="24"/>
                <w:szCs w:val="24"/>
              </w:rPr>
              <w:t xml:space="preserve">. </w:t>
            </w:r>
          </w:p>
          <w:p w:rsidR="007C1FAF" w:rsidRPr="00151119" w:rsidRDefault="007C1FAF" w:rsidP="0019301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To tenderers</w:t>
            </w:r>
            <w:r w:rsidRPr="00151119">
              <w:rPr>
                <w:rFonts w:ascii="Times New Roman" w:hAnsi="Times New Roman" w:cs="Times New Roman"/>
                <w:sz w:val="24"/>
                <w:szCs w:val="24"/>
              </w:rPr>
              <w:t xml:space="preserve"> asking for the delivery of the tender </w:t>
            </w:r>
            <w:r>
              <w:rPr>
                <w:rFonts w:ascii="Times New Roman" w:hAnsi="Times New Roman" w:cs="Times New Roman"/>
                <w:sz w:val="24"/>
                <w:szCs w:val="24"/>
              </w:rPr>
              <w:t xml:space="preserve">dossier via e-mail, the tender dossier will be delivered </w:t>
            </w:r>
            <w:r>
              <w:rPr>
                <w:rFonts w:ascii="Times New Roman" w:hAnsi="Times New Roman" w:cs="Times New Roman"/>
                <w:sz w:val="24"/>
                <w:szCs w:val="24"/>
              </w:rPr>
              <w:lastRenderedPageBreak/>
              <w:t xml:space="preserve">upon the receipt of the </w:t>
            </w:r>
            <w:r w:rsidRPr="00151119">
              <w:rPr>
                <w:rFonts w:ascii="Times New Roman" w:hAnsi="Times New Roman" w:cs="Times New Roman"/>
                <w:sz w:val="24"/>
                <w:szCs w:val="24"/>
              </w:rPr>
              <w:t>evidence of the remittance, without any liability in case of lost or delay.</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If the currency of payment is EUR use the following:</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Intermediary Bank/ Correspondent Bank</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Swift – BIC:</w:t>
            </w:r>
            <w:r w:rsidR="00193015">
              <w:rPr>
                <w:rFonts w:ascii="Times New Roman" w:hAnsi="Times New Roman" w:cs="Times New Roman"/>
                <w:sz w:val="24"/>
                <w:szCs w:val="24"/>
              </w:rPr>
              <w:t xml:space="preserve"> </w:t>
            </w:r>
            <w:r w:rsidRPr="00151119">
              <w:rPr>
                <w:rFonts w:ascii="Times New Roman" w:hAnsi="Times New Roman" w:cs="Times New Roman"/>
                <w:sz w:val="24"/>
                <w:szCs w:val="24"/>
              </w:rPr>
              <w:t>COBADEFF</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Name:</w:t>
            </w:r>
            <w:r w:rsidR="00193015">
              <w:rPr>
                <w:rFonts w:ascii="Times New Roman" w:hAnsi="Times New Roman" w:cs="Times New Roman"/>
                <w:sz w:val="24"/>
                <w:szCs w:val="24"/>
              </w:rPr>
              <w:t xml:space="preserve"> </w:t>
            </w:r>
            <w:r w:rsidRPr="00151119">
              <w:rPr>
                <w:rFonts w:ascii="Times New Roman" w:hAnsi="Times New Roman" w:cs="Times New Roman"/>
                <w:sz w:val="24"/>
                <w:szCs w:val="24"/>
              </w:rPr>
              <w:t>COMMERZBANK AG</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City, Country:</w:t>
            </w:r>
            <w:r w:rsidRPr="00151119">
              <w:rPr>
                <w:rFonts w:ascii="Times New Roman" w:hAnsi="Times New Roman" w:cs="Times New Roman"/>
                <w:sz w:val="24"/>
                <w:szCs w:val="24"/>
              </w:rPr>
              <w:tab/>
              <w:t>FRANKFURT AM MAIN, GERMANY</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Account with institution/ Beneficiary’s Bank</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Swift – BIC:</w:t>
            </w:r>
            <w:r w:rsidR="00193015">
              <w:rPr>
                <w:rFonts w:ascii="Times New Roman" w:hAnsi="Times New Roman" w:cs="Times New Roman"/>
                <w:sz w:val="24"/>
                <w:szCs w:val="24"/>
              </w:rPr>
              <w:t xml:space="preserve"> </w:t>
            </w:r>
            <w:r w:rsidRPr="00151119">
              <w:rPr>
                <w:rFonts w:ascii="Times New Roman" w:hAnsi="Times New Roman" w:cs="Times New Roman"/>
                <w:sz w:val="24"/>
                <w:szCs w:val="24"/>
              </w:rPr>
              <w:t>KOBBRSBG</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Name:</w:t>
            </w:r>
            <w:r w:rsidR="00193015">
              <w:rPr>
                <w:rFonts w:ascii="Times New Roman" w:hAnsi="Times New Roman" w:cs="Times New Roman"/>
                <w:sz w:val="24"/>
                <w:szCs w:val="24"/>
              </w:rPr>
              <w:t xml:space="preserve"> </w:t>
            </w:r>
            <w:r w:rsidRPr="00151119">
              <w:rPr>
                <w:rFonts w:ascii="Times New Roman" w:hAnsi="Times New Roman" w:cs="Times New Roman"/>
                <w:sz w:val="24"/>
                <w:szCs w:val="24"/>
              </w:rPr>
              <w:tab/>
              <w:t>KOMERCIJALNA BANKA AD BEOGRAD</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Street:</w:t>
            </w:r>
            <w:r w:rsidR="00193015">
              <w:rPr>
                <w:rFonts w:ascii="Times New Roman" w:hAnsi="Times New Roman" w:cs="Times New Roman"/>
                <w:sz w:val="24"/>
                <w:szCs w:val="24"/>
              </w:rPr>
              <w:t xml:space="preserve"> </w:t>
            </w:r>
            <w:proofErr w:type="spellStart"/>
            <w:r w:rsidRPr="00151119">
              <w:rPr>
                <w:rFonts w:ascii="Times New Roman" w:hAnsi="Times New Roman" w:cs="Times New Roman"/>
                <w:sz w:val="24"/>
                <w:szCs w:val="24"/>
              </w:rPr>
              <w:t>Svetog</w:t>
            </w:r>
            <w:proofErr w:type="spellEnd"/>
            <w:r w:rsidRPr="00151119">
              <w:rPr>
                <w:rFonts w:ascii="Times New Roman" w:hAnsi="Times New Roman" w:cs="Times New Roman"/>
                <w:sz w:val="24"/>
                <w:szCs w:val="24"/>
              </w:rPr>
              <w:t xml:space="preserve"> Save 14</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City, Country:</w:t>
            </w:r>
            <w:r w:rsidR="00193015">
              <w:rPr>
                <w:rFonts w:ascii="Times New Roman" w:hAnsi="Times New Roman" w:cs="Times New Roman"/>
                <w:sz w:val="24"/>
                <w:szCs w:val="24"/>
              </w:rPr>
              <w:t xml:space="preserve"> </w:t>
            </w:r>
            <w:r w:rsidRPr="00151119">
              <w:rPr>
                <w:rFonts w:ascii="Times New Roman" w:hAnsi="Times New Roman" w:cs="Times New Roman"/>
                <w:sz w:val="24"/>
                <w:szCs w:val="24"/>
              </w:rPr>
              <w:t>11000 Belgrade, Republic of Serbia</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Beneficiary</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IBAN/ Account Number:</w:t>
            </w:r>
            <w:r w:rsidR="00193015">
              <w:rPr>
                <w:rFonts w:ascii="Times New Roman" w:hAnsi="Times New Roman" w:cs="Times New Roman"/>
                <w:sz w:val="24"/>
                <w:szCs w:val="24"/>
              </w:rPr>
              <w:t xml:space="preserve"> </w:t>
            </w:r>
            <w:r w:rsidRPr="00151119">
              <w:rPr>
                <w:rFonts w:ascii="Times New Roman" w:hAnsi="Times New Roman" w:cs="Times New Roman"/>
                <w:sz w:val="24"/>
                <w:szCs w:val="24"/>
              </w:rPr>
              <w:t>RS 35205007010039485382</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Company name:</w:t>
            </w:r>
            <w:r w:rsidR="00193015">
              <w:rPr>
                <w:rFonts w:ascii="Times New Roman" w:hAnsi="Times New Roman" w:cs="Times New Roman"/>
                <w:sz w:val="24"/>
                <w:szCs w:val="24"/>
              </w:rPr>
              <w:t xml:space="preserve"> </w:t>
            </w:r>
            <w:r w:rsidRPr="00151119">
              <w:rPr>
                <w:rFonts w:ascii="Times New Roman" w:hAnsi="Times New Roman" w:cs="Times New Roman"/>
                <w:sz w:val="24"/>
                <w:szCs w:val="24"/>
              </w:rPr>
              <w:t>JUP ISTRAŽIVANJE I RAZVOJ DOO BEOGRAD</w:t>
            </w:r>
          </w:p>
          <w:p w:rsidR="007C1FAF" w:rsidRPr="00151119" w:rsidRDefault="007C1FAF" w:rsidP="00193015">
            <w:pPr>
              <w:spacing w:before="120" w:after="120" w:line="240" w:lineRule="auto"/>
              <w:jc w:val="both"/>
              <w:rPr>
                <w:rFonts w:ascii="Times New Roman" w:hAnsi="Times New Roman" w:cs="Times New Roman"/>
                <w:sz w:val="24"/>
                <w:szCs w:val="24"/>
              </w:rPr>
            </w:pPr>
            <w:r w:rsidRPr="00151119">
              <w:rPr>
                <w:rFonts w:ascii="Times New Roman" w:hAnsi="Times New Roman" w:cs="Times New Roman"/>
                <w:sz w:val="24"/>
                <w:szCs w:val="24"/>
              </w:rPr>
              <w:t>Street:</w:t>
            </w:r>
            <w:r w:rsidR="00193015">
              <w:rPr>
                <w:rFonts w:ascii="Times New Roman" w:hAnsi="Times New Roman" w:cs="Times New Roman"/>
                <w:sz w:val="24"/>
                <w:szCs w:val="24"/>
              </w:rPr>
              <w:t xml:space="preserve"> </w:t>
            </w:r>
            <w:r w:rsidRPr="00151119">
              <w:rPr>
                <w:rFonts w:ascii="Times New Roman" w:hAnsi="Times New Roman" w:cs="Times New Roman"/>
                <w:sz w:val="24"/>
                <w:szCs w:val="24"/>
              </w:rPr>
              <w:tab/>
              <w:t>NEMANJINA 22-26</w:t>
            </w:r>
          </w:p>
          <w:p w:rsidR="00F9698A" w:rsidRPr="0049024C" w:rsidRDefault="007C1FAF" w:rsidP="00193015">
            <w:pPr>
              <w:spacing w:before="120" w:after="120" w:line="240" w:lineRule="auto"/>
              <w:rPr>
                <w:rFonts w:ascii="Times New Roman" w:hAnsi="Times New Roman" w:cs="Times New Roman"/>
                <w:sz w:val="24"/>
                <w:szCs w:val="24"/>
              </w:rPr>
            </w:pPr>
            <w:r w:rsidRPr="00151119">
              <w:rPr>
                <w:rFonts w:ascii="Times New Roman" w:hAnsi="Times New Roman" w:cs="Times New Roman"/>
                <w:sz w:val="24"/>
                <w:szCs w:val="24"/>
              </w:rPr>
              <w:t>City, Country:</w:t>
            </w:r>
            <w:r w:rsidR="00193015">
              <w:rPr>
                <w:rFonts w:ascii="Times New Roman" w:hAnsi="Times New Roman" w:cs="Times New Roman"/>
                <w:sz w:val="24"/>
                <w:szCs w:val="24"/>
              </w:rPr>
              <w:t xml:space="preserve"> </w:t>
            </w:r>
            <w:r w:rsidRPr="00151119">
              <w:rPr>
                <w:rFonts w:ascii="Times New Roman" w:hAnsi="Times New Roman" w:cs="Times New Roman"/>
                <w:sz w:val="24"/>
                <w:szCs w:val="24"/>
              </w:rPr>
              <w:t xml:space="preserve">Beograd – </w:t>
            </w:r>
            <w:proofErr w:type="spellStart"/>
            <w:r w:rsidRPr="00151119">
              <w:rPr>
                <w:rFonts w:ascii="Times New Roman" w:hAnsi="Times New Roman" w:cs="Times New Roman"/>
                <w:sz w:val="24"/>
                <w:szCs w:val="24"/>
              </w:rPr>
              <w:t>Savski</w:t>
            </w:r>
            <w:proofErr w:type="spellEnd"/>
            <w:r w:rsidRPr="00151119">
              <w:rPr>
                <w:rFonts w:ascii="Times New Roman" w:hAnsi="Times New Roman" w:cs="Times New Roman"/>
                <w:sz w:val="24"/>
                <w:szCs w:val="24"/>
              </w:rPr>
              <w:t xml:space="preserve"> </w:t>
            </w:r>
            <w:proofErr w:type="spellStart"/>
            <w:r w:rsidRPr="00151119">
              <w:rPr>
                <w:rFonts w:ascii="Times New Roman" w:hAnsi="Times New Roman" w:cs="Times New Roman"/>
                <w:sz w:val="24"/>
                <w:szCs w:val="24"/>
              </w:rPr>
              <w:t>venac</w:t>
            </w:r>
            <w:proofErr w:type="spellEnd"/>
            <w:r w:rsidRPr="00151119">
              <w:rPr>
                <w:rFonts w:ascii="Times New Roman" w:hAnsi="Times New Roman" w:cs="Times New Roman"/>
                <w:sz w:val="24"/>
                <w:szCs w:val="24"/>
              </w:rPr>
              <w:t>, Republic of Serbia</w:t>
            </w:r>
          </w:p>
          <w:p w:rsidR="00F9698A" w:rsidRPr="0049024C" w:rsidRDefault="00F9698A" w:rsidP="00193015">
            <w:pPr>
              <w:spacing w:before="120" w:after="120" w:line="240" w:lineRule="auto"/>
              <w:rPr>
                <w:rFonts w:ascii="Times New Roman" w:hAnsi="Times New Roman" w:cs="Times New Roman"/>
                <w:sz w:val="24"/>
                <w:szCs w:val="24"/>
              </w:rPr>
            </w:pPr>
          </w:p>
        </w:tc>
      </w:tr>
      <w:tr w:rsidR="00034785" w:rsidRPr="00034785" w:rsidTr="00445788">
        <w:tc>
          <w:tcPr>
            <w:tcW w:w="301" w:type="pct"/>
            <w:shd w:val="clear" w:color="auto" w:fill="FFFFFF" w:themeFill="background1"/>
            <w:tcMar>
              <w:top w:w="0" w:type="dxa"/>
              <w:left w:w="108" w:type="dxa"/>
              <w:bottom w:w="0" w:type="dxa"/>
              <w:right w:w="108" w:type="dxa"/>
            </w:tcMar>
          </w:tcPr>
          <w:p w:rsidR="00034785" w:rsidRPr="00034785" w:rsidRDefault="00034785" w:rsidP="00D5348C">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034785" w:rsidRPr="00034785" w:rsidRDefault="00034785" w:rsidP="00D5348C">
            <w:pPr>
              <w:spacing w:after="0" w:line="240" w:lineRule="auto"/>
              <w:jc w:val="both"/>
              <w:rPr>
                <w:rFonts w:ascii="Times New Roman" w:hAnsi="Times New Roman" w:cs="Times New Roman"/>
                <w:sz w:val="16"/>
                <w:szCs w:val="16"/>
              </w:rPr>
            </w:pPr>
          </w:p>
        </w:tc>
      </w:tr>
      <w:tr w:rsidR="00F9698A" w:rsidRPr="0049024C" w:rsidTr="00445788">
        <w:trPr>
          <w:trHeight w:val="745"/>
        </w:trPr>
        <w:tc>
          <w:tcPr>
            <w:tcW w:w="301" w:type="pct"/>
            <w:shd w:val="clear" w:color="auto" w:fill="FFFFFF"/>
            <w:tcMar>
              <w:top w:w="0" w:type="dxa"/>
              <w:left w:w="108" w:type="dxa"/>
              <w:bottom w:w="0" w:type="dxa"/>
              <w:right w:w="108" w:type="dxa"/>
            </w:tcMar>
          </w:tcPr>
          <w:p w:rsidR="00F9698A" w:rsidRPr="0049024C" w:rsidRDefault="00F9698A"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F9698A" w:rsidRPr="0049024C" w:rsidRDefault="00F9698A"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Submission of tenders, deadline for submission of tenders:</w:t>
            </w:r>
          </w:p>
        </w:tc>
        <w:tc>
          <w:tcPr>
            <w:tcW w:w="2917" w:type="pct"/>
            <w:gridSpan w:val="2"/>
            <w:shd w:val="clear" w:color="auto" w:fill="C6D9F1"/>
            <w:tcMar>
              <w:top w:w="0" w:type="dxa"/>
              <w:left w:w="108" w:type="dxa"/>
              <w:bottom w:w="0" w:type="dxa"/>
              <w:right w:w="108" w:type="dxa"/>
            </w:tcMar>
          </w:tcPr>
          <w:p w:rsidR="00F9698A" w:rsidRPr="0049024C" w:rsidRDefault="00F9698A"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The tenders should be submitted by registered letter with acknowledgement of receipt or hand-delivered against signed receipt.</w:t>
            </w:r>
          </w:p>
          <w:p w:rsidR="00F9698A" w:rsidRPr="0049024C" w:rsidRDefault="00F9698A"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 xml:space="preserve">The tender must be sent to the following address: JUP </w:t>
            </w:r>
            <w:proofErr w:type="spellStart"/>
            <w:r w:rsidRPr="0049024C">
              <w:rPr>
                <w:rFonts w:ascii="Times New Roman" w:hAnsi="Times New Roman" w:cs="Times New Roman"/>
                <w:sz w:val="24"/>
                <w:szCs w:val="24"/>
              </w:rPr>
              <w:t>Istraživanje</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i</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razvoj</w:t>
            </w:r>
            <w:proofErr w:type="spellEnd"/>
            <w:r w:rsidRPr="0049024C">
              <w:rPr>
                <w:rFonts w:ascii="Times New Roman" w:hAnsi="Times New Roman" w:cs="Times New Roman"/>
                <w:sz w:val="24"/>
                <w:szCs w:val="24"/>
              </w:rPr>
              <w:t xml:space="preserve"> doo Beograd, 54 </w:t>
            </w:r>
            <w:proofErr w:type="spellStart"/>
            <w:r w:rsidRPr="0049024C">
              <w:rPr>
                <w:rFonts w:ascii="Times New Roman" w:hAnsi="Times New Roman" w:cs="Times New Roman"/>
                <w:sz w:val="24"/>
                <w:szCs w:val="24"/>
              </w:rPr>
              <w:t>Veljka</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Dugoševića</w:t>
            </w:r>
            <w:proofErr w:type="spellEnd"/>
            <w:r w:rsidRPr="0049024C">
              <w:rPr>
                <w:rFonts w:ascii="Times New Roman" w:hAnsi="Times New Roman" w:cs="Times New Roman"/>
                <w:sz w:val="24"/>
                <w:szCs w:val="24"/>
              </w:rPr>
              <w:t xml:space="preserve">, IV sprat - </w:t>
            </w:r>
            <w:proofErr w:type="spellStart"/>
            <w:r w:rsidRPr="0049024C">
              <w:rPr>
                <w:rFonts w:ascii="Times New Roman" w:hAnsi="Times New Roman" w:cs="Times New Roman"/>
                <w:sz w:val="24"/>
                <w:szCs w:val="24"/>
              </w:rPr>
              <w:t>pisarnica</w:t>
            </w:r>
            <w:proofErr w:type="spellEnd"/>
            <w:r w:rsidRPr="0049024C">
              <w:rPr>
                <w:rFonts w:ascii="Times New Roman" w:hAnsi="Times New Roman" w:cs="Times New Roman"/>
                <w:sz w:val="24"/>
                <w:szCs w:val="24"/>
              </w:rPr>
              <w:t xml:space="preserve">, 11000 Beograd, </w:t>
            </w:r>
            <w:proofErr w:type="spellStart"/>
            <w:r w:rsidRPr="0049024C">
              <w:rPr>
                <w:rFonts w:ascii="Times New Roman" w:hAnsi="Times New Roman" w:cs="Times New Roman"/>
                <w:sz w:val="24"/>
                <w:szCs w:val="24"/>
              </w:rPr>
              <w:t>Srbija</w:t>
            </w:r>
            <w:proofErr w:type="spellEnd"/>
            <w:r w:rsidRPr="0049024C">
              <w:rPr>
                <w:rFonts w:ascii="Times New Roman" w:hAnsi="Times New Roman" w:cs="Times New Roman"/>
                <w:sz w:val="24"/>
                <w:szCs w:val="24"/>
              </w:rPr>
              <w:t>.</w:t>
            </w:r>
          </w:p>
          <w:p w:rsidR="00F9698A" w:rsidRPr="0049024C" w:rsidRDefault="00F9698A"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 xml:space="preserve">If tenders are hand delivered they should be delivered to the following address: JUP </w:t>
            </w:r>
            <w:proofErr w:type="spellStart"/>
            <w:r w:rsidRPr="0049024C">
              <w:rPr>
                <w:rFonts w:ascii="Times New Roman" w:hAnsi="Times New Roman" w:cs="Times New Roman"/>
                <w:sz w:val="24"/>
                <w:szCs w:val="24"/>
              </w:rPr>
              <w:t>Istraživanje</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i</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razvoj</w:t>
            </w:r>
            <w:proofErr w:type="spellEnd"/>
            <w:r w:rsidRPr="0049024C">
              <w:rPr>
                <w:rFonts w:ascii="Times New Roman" w:hAnsi="Times New Roman" w:cs="Times New Roman"/>
                <w:sz w:val="24"/>
                <w:szCs w:val="24"/>
              </w:rPr>
              <w:t xml:space="preserve"> doo Beograd, 54 </w:t>
            </w:r>
            <w:proofErr w:type="spellStart"/>
            <w:r w:rsidRPr="0049024C">
              <w:rPr>
                <w:rFonts w:ascii="Times New Roman" w:hAnsi="Times New Roman" w:cs="Times New Roman"/>
                <w:sz w:val="24"/>
                <w:szCs w:val="24"/>
              </w:rPr>
              <w:t>Veljka</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Dugoševića</w:t>
            </w:r>
            <w:proofErr w:type="spellEnd"/>
            <w:r w:rsidRPr="0049024C">
              <w:rPr>
                <w:rFonts w:ascii="Times New Roman" w:hAnsi="Times New Roman" w:cs="Times New Roman"/>
                <w:sz w:val="24"/>
                <w:szCs w:val="24"/>
              </w:rPr>
              <w:t xml:space="preserve">, IV sprat - </w:t>
            </w:r>
            <w:proofErr w:type="spellStart"/>
            <w:r w:rsidRPr="0049024C">
              <w:rPr>
                <w:rFonts w:ascii="Times New Roman" w:hAnsi="Times New Roman" w:cs="Times New Roman"/>
                <w:sz w:val="24"/>
                <w:szCs w:val="24"/>
              </w:rPr>
              <w:t>pisarnica</w:t>
            </w:r>
            <w:proofErr w:type="spellEnd"/>
            <w:r w:rsidRPr="0049024C">
              <w:rPr>
                <w:rFonts w:ascii="Times New Roman" w:hAnsi="Times New Roman" w:cs="Times New Roman"/>
                <w:sz w:val="24"/>
                <w:szCs w:val="24"/>
              </w:rPr>
              <w:t xml:space="preserve">, 11000 Beograd, </w:t>
            </w:r>
            <w:proofErr w:type="spellStart"/>
            <w:r w:rsidRPr="0049024C">
              <w:rPr>
                <w:rFonts w:ascii="Times New Roman" w:hAnsi="Times New Roman" w:cs="Times New Roman"/>
                <w:sz w:val="24"/>
                <w:szCs w:val="24"/>
              </w:rPr>
              <w:t>Srbija</w:t>
            </w:r>
            <w:proofErr w:type="spellEnd"/>
            <w:r w:rsidRPr="0049024C">
              <w:rPr>
                <w:rFonts w:ascii="Times New Roman" w:hAnsi="Times New Roman" w:cs="Times New Roman"/>
                <w:sz w:val="24"/>
                <w:szCs w:val="24"/>
              </w:rPr>
              <w:t xml:space="preserve"> from 09:00 AM to 15:30 PM.</w:t>
            </w:r>
          </w:p>
          <w:p w:rsidR="00F9698A" w:rsidRPr="0049024C" w:rsidRDefault="00F9698A" w:rsidP="00802BA6">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 xml:space="preserve">The deadline for submission of tenders is: </w:t>
            </w:r>
            <w:r w:rsidR="00802BA6">
              <w:rPr>
                <w:rFonts w:ascii="Times New Roman" w:hAnsi="Times New Roman" w:cs="Times New Roman"/>
                <w:sz w:val="24"/>
                <w:szCs w:val="24"/>
              </w:rPr>
              <w:t>24.01.2017, by 11</w:t>
            </w:r>
            <w:r w:rsidRPr="0049024C">
              <w:rPr>
                <w:rFonts w:ascii="Times New Roman" w:hAnsi="Times New Roman" w:cs="Times New Roman"/>
                <w:sz w:val="24"/>
                <w:szCs w:val="24"/>
              </w:rPr>
              <w:t xml:space="preserve">:00 pm. </w:t>
            </w:r>
          </w:p>
        </w:tc>
      </w:tr>
      <w:tr w:rsidR="00034785" w:rsidRPr="00034785" w:rsidTr="00445788">
        <w:tc>
          <w:tcPr>
            <w:tcW w:w="301" w:type="pct"/>
            <w:shd w:val="clear" w:color="auto" w:fill="FFFFFF" w:themeFill="background1"/>
            <w:tcMar>
              <w:top w:w="0" w:type="dxa"/>
              <w:left w:w="108" w:type="dxa"/>
              <w:bottom w:w="0" w:type="dxa"/>
              <w:right w:w="108" w:type="dxa"/>
            </w:tcMar>
          </w:tcPr>
          <w:p w:rsidR="00034785" w:rsidRPr="00034785" w:rsidRDefault="00034785" w:rsidP="00D5348C">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034785" w:rsidRPr="00034785" w:rsidRDefault="00034785" w:rsidP="00D5348C">
            <w:pPr>
              <w:spacing w:after="0" w:line="240" w:lineRule="auto"/>
              <w:jc w:val="both"/>
              <w:rPr>
                <w:rFonts w:ascii="Times New Roman" w:hAnsi="Times New Roman" w:cs="Times New Roman"/>
                <w:sz w:val="16"/>
                <w:szCs w:val="16"/>
              </w:rPr>
            </w:pPr>
          </w:p>
        </w:tc>
      </w:tr>
      <w:tr w:rsidR="00F9698A" w:rsidRPr="0049024C" w:rsidTr="00445788">
        <w:trPr>
          <w:trHeight w:val="699"/>
        </w:trPr>
        <w:tc>
          <w:tcPr>
            <w:tcW w:w="301" w:type="pct"/>
            <w:shd w:val="clear" w:color="auto" w:fill="FFFFFF"/>
            <w:tcMar>
              <w:top w:w="0" w:type="dxa"/>
              <w:left w:w="108" w:type="dxa"/>
              <w:bottom w:w="0" w:type="dxa"/>
              <w:right w:w="108" w:type="dxa"/>
            </w:tcMar>
          </w:tcPr>
          <w:p w:rsidR="00F9698A" w:rsidRPr="0049024C" w:rsidRDefault="00F9698A"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F9698A" w:rsidRPr="0049024C" w:rsidRDefault="00F9698A"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Tender opening session – date, time and venue:</w:t>
            </w:r>
          </w:p>
        </w:tc>
        <w:tc>
          <w:tcPr>
            <w:tcW w:w="2917" w:type="pct"/>
            <w:gridSpan w:val="2"/>
            <w:shd w:val="clear" w:color="auto" w:fill="C6D9F1"/>
            <w:tcMar>
              <w:top w:w="0" w:type="dxa"/>
              <w:left w:w="108" w:type="dxa"/>
              <w:bottom w:w="0" w:type="dxa"/>
              <w:right w:w="108" w:type="dxa"/>
            </w:tcMar>
          </w:tcPr>
          <w:p w:rsidR="00F9698A" w:rsidRPr="0049024C" w:rsidRDefault="009B2222"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 xml:space="preserve">Tender opening session will be held on </w:t>
            </w:r>
            <w:r w:rsidR="00802BA6">
              <w:rPr>
                <w:rFonts w:ascii="Times New Roman" w:hAnsi="Times New Roman" w:cs="Times New Roman"/>
                <w:sz w:val="24"/>
                <w:szCs w:val="24"/>
              </w:rPr>
              <w:t>24.01.2017</w:t>
            </w:r>
            <w:r w:rsidR="00802BA6">
              <w:rPr>
                <w:rFonts w:ascii="Times New Roman" w:hAnsi="Times New Roman" w:cs="Times New Roman"/>
                <w:sz w:val="24"/>
                <w:szCs w:val="24"/>
              </w:rPr>
              <w:t>, at 12</w:t>
            </w:r>
            <w:r w:rsidRPr="0049024C">
              <w:rPr>
                <w:rFonts w:ascii="Times New Roman" w:hAnsi="Times New Roman" w:cs="Times New Roman"/>
                <w:sz w:val="24"/>
                <w:szCs w:val="24"/>
              </w:rPr>
              <w:t xml:space="preserve">:00h on the premises of JUP </w:t>
            </w:r>
            <w:proofErr w:type="spellStart"/>
            <w:r w:rsidRPr="0049024C">
              <w:rPr>
                <w:rFonts w:ascii="Times New Roman" w:hAnsi="Times New Roman" w:cs="Times New Roman"/>
                <w:sz w:val="24"/>
                <w:szCs w:val="24"/>
              </w:rPr>
              <w:t>Istraživanje</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i</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razvoj</w:t>
            </w:r>
            <w:proofErr w:type="spellEnd"/>
            <w:r w:rsidRPr="0049024C">
              <w:rPr>
                <w:rFonts w:ascii="Times New Roman" w:hAnsi="Times New Roman" w:cs="Times New Roman"/>
                <w:sz w:val="24"/>
                <w:szCs w:val="24"/>
              </w:rPr>
              <w:t xml:space="preserve"> doo </w:t>
            </w:r>
            <w:r w:rsidRPr="0049024C">
              <w:rPr>
                <w:rFonts w:ascii="Times New Roman" w:hAnsi="Times New Roman" w:cs="Times New Roman"/>
                <w:sz w:val="24"/>
                <w:szCs w:val="24"/>
              </w:rPr>
              <w:lastRenderedPageBreak/>
              <w:t xml:space="preserve">Beograd, 54 </w:t>
            </w:r>
            <w:proofErr w:type="spellStart"/>
            <w:r w:rsidRPr="0049024C">
              <w:rPr>
                <w:rFonts w:ascii="Times New Roman" w:hAnsi="Times New Roman" w:cs="Times New Roman"/>
                <w:sz w:val="24"/>
                <w:szCs w:val="24"/>
              </w:rPr>
              <w:t>Veljka</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Dugoševića</w:t>
            </w:r>
            <w:proofErr w:type="spellEnd"/>
            <w:r w:rsidRPr="0049024C">
              <w:rPr>
                <w:rFonts w:ascii="Times New Roman" w:hAnsi="Times New Roman" w:cs="Times New Roman"/>
                <w:sz w:val="24"/>
                <w:szCs w:val="24"/>
              </w:rPr>
              <w:t xml:space="preserve">, IV sprat, </w:t>
            </w:r>
            <w:r w:rsidR="00F9698A" w:rsidRPr="0049024C">
              <w:rPr>
                <w:rFonts w:ascii="Times New Roman" w:hAnsi="Times New Roman" w:cs="Times New Roman"/>
                <w:sz w:val="24"/>
                <w:szCs w:val="24"/>
              </w:rPr>
              <w:t>Beograd.</w:t>
            </w:r>
          </w:p>
        </w:tc>
      </w:tr>
      <w:tr w:rsidR="00034785" w:rsidRPr="00034785" w:rsidTr="00445788">
        <w:tc>
          <w:tcPr>
            <w:tcW w:w="301" w:type="pct"/>
            <w:shd w:val="clear" w:color="auto" w:fill="FFFFFF" w:themeFill="background1"/>
            <w:tcMar>
              <w:top w:w="0" w:type="dxa"/>
              <w:left w:w="108" w:type="dxa"/>
              <w:bottom w:w="0" w:type="dxa"/>
              <w:right w:w="108" w:type="dxa"/>
            </w:tcMar>
          </w:tcPr>
          <w:p w:rsidR="00034785" w:rsidRPr="00034785" w:rsidRDefault="00034785" w:rsidP="00D5348C">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034785" w:rsidRPr="00034785" w:rsidRDefault="00034785" w:rsidP="00D5348C">
            <w:pPr>
              <w:spacing w:after="0" w:line="240" w:lineRule="auto"/>
              <w:jc w:val="both"/>
              <w:rPr>
                <w:rFonts w:ascii="Times New Roman" w:hAnsi="Times New Roman" w:cs="Times New Roman"/>
                <w:sz w:val="16"/>
                <w:szCs w:val="16"/>
              </w:rPr>
            </w:pPr>
          </w:p>
        </w:tc>
      </w:tr>
      <w:tr w:rsidR="004E1CEB" w:rsidRPr="0049024C" w:rsidTr="00445788">
        <w:trPr>
          <w:trHeight w:val="696"/>
        </w:trPr>
        <w:tc>
          <w:tcPr>
            <w:tcW w:w="301" w:type="pct"/>
            <w:shd w:val="clear" w:color="auto" w:fill="FFFFFF"/>
            <w:tcMar>
              <w:top w:w="0" w:type="dxa"/>
              <w:left w:w="108" w:type="dxa"/>
              <w:bottom w:w="0" w:type="dxa"/>
              <w:right w:w="108" w:type="dxa"/>
            </w:tcMar>
          </w:tcPr>
          <w:p w:rsidR="004E1CEB" w:rsidRPr="0049024C" w:rsidRDefault="004E1CEB"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FFFFFF"/>
            <w:tcMar>
              <w:top w:w="0" w:type="dxa"/>
              <w:left w:w="108" w:type="dxa"/>
              <w:bottom w:w="0" w:type="dxa"/>
              <w:right w:w="108" w:type="dxa"/>
            </w:tcMar>
          </w:tcPr>
          <w:p w:rsidR="004E1CEB" w:rsidRPr="0049024C" w:rsidRDefault="004E1CEB"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Conditions for participation in tender opening session:</w:t>
            </w:r>
          </w:p>
        </w:tc>
      </w:tr>
      <w:tr w:rsidR="00F9698A" w:rsidRPr="0049024C" w:rsidTr="00445788">
        <w:trPr>
          <w:trHeight w:val="1450"/>
        </w:trPr>
        <w:tc>
          <w:tcPr>
            <w:tcW w:w="301" w:type="pct"/>
            <w:shd w:val="clear" w:color="auto" w:fill="FFFFFF"/>
            <w:tcMar>
              <w:top w:w="0" w:type="dxa"/>
              <w:left w:w="108" w:type="dxa"/>
              <w:bottom w:w="0" w:type="dxa"/>
              <w:right w:w="108" w:type="dxa"/>
            </w:tcMar>
          </w:tcPr>
          <w:p w:rsidR="00F9698A" w:rsidRPr="0049024C" w:rsidRDefault="00F9698A" w:rsidP="00193015">
            <w:pPr>
              <w:pStyle w:val="ListParagraph"/>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C6D9F1"/>
            <w:tcMar>
              <w:top w:w="0" w:type="dxa"/>
              <w:left w:w="108" w:type="dxa"/>
              <w:bottom w:w="0" w:type="dxa"/>
              <w:right w:w="108" w:type="dxa"/>
            </w:tcMar>
          </w:tcPr>
          <w:p w:rsidR="00F9698A" w:rsidRPr="0049024C" w:rsidRDefault="004E1CEB"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The Contracting Authority will open the tenders in the presence of the tenderers’ authorised representatives who choose to attend, at the time and in the place specified in the Contract Procurement Notice and the ITT. The tenderer’s representatives who are present shall produce evidence of their authorisation to attend and sign a register documenting their attendance.</w:t>
            </w:r>
          </w:p>
        </w:tc>
      </w:tr>
      <w:tr w:rsidR="00034785" w:rsidRPr="00034785" w:rsidTr="00445788">
        <w:tc>
          <w:tcPr>
            <w:tcW w:w="301" w:type="pct"/>
            <w:shd w:val="clear" w:color="auto" w:fill="FFFFFF" w:themeFill="background1"/>
            <w:tcMar>
              <w:top w:w="0" w:type="dxa"/>
              <w:left w:w="108" w:type="dxa"/>
              <w:bottom w:w="0" w:type="dxa"/>
              <w:right w:w="108" w:type="dxa"/>
            </w:tcMar>
          </w:tcPr>
          <w:p w:rsidR="00034785" w:rsidRPr="00034785" w:rsidRDefault="00034785" w:rsidP="00D5348C">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034785" w:rsidRPr="00034785" w:rsidRDefault="00034785" w:rsidP="00D5348C">
            <w:pPr>
              <w:spacing w:after="0" w:line="240" w:lineRule="auto"/>
              <w:jc w:val="both"/>
              <w:rPr>
                <w:rFonts w:ascii="Times New Roman" w:hAnsi="Times New Roman" w:cs="Times New Roman"/>
                <w:sz w:val="16"/>
                <w:szCs w:val="16"/>
              </w:rPr>
            </w:pPr>
          </w:p>
        </w:tc>
      </w:tr>
      <w:tr w:rsidR="004E1CEB" w:rsidRPr="0049024C" w:rsidTr="00445788">
        <w:trPr>
          <w:trHeight w:val="699"/>
        </w:trPr>
        <w:tc>
          <w:tcPr>
            <w:tcW w:w="301" w:type="pct"/>
            <w:shd w:val="clear" w:color="auto" w:fill="FFFFFF"/>
            <w:tcMar>
              <w:top w:w="0" w:type="dxa"/>
              <w:left w:w="108" w:type="dxa"/>
              <w:bottom w:w="0" w:type="dxa"/>
              <w:right w:w="108" w:type="dxa"/>
            </w:tcMar>
          </w:tcPr>
          <w:p w:rsidR="004E1CEB" w:rsidRPr="0049024C" w:rsidRDefault="004E1CEB"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4E1CEB" w:rsidRPr="0049024C" w:rsidRDefault="004E1CEB"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Deadline for contract award decision:</w:t>
            </w:r>
          </w:p>
        </w:tc>
        <w:tc>
          <w:tcPr>
            <w:tcW w:w="2917" w:type="pct"/>
            <w:gridSpan w:val="2"/>
            <w:shd w:val="clear" w:color="auto" w:fill="C6D9F1"/>
            <w:tcMar>
              <w:top w:w="0" w:type="dxa"/>
              <w:left w:w="108" w:type="dxa"/>
              <w:bottom w:w="0" w:type="dxa"/>
              <w:right w:w="108" w:type="dxa"/>
            </w:tcMar>
          </w:tcPr>
          <w:p w:rsidR="004E1CEB" w:rsidRPr="0049024C" w:rsidRDefault="002A3900" w:rsidP="00193015">
            <w:pPr>
              <w:spacing w:before="120" w:after="120" w:line="240" w:lineRule="auto"/>
              <w:rPr>
                <w:rFonts w:ascii="Times New Roman" w:hAnsi="Times New Roman" w:cs="Times New Roman"/>
                <w:sz w:val="24"/>
                <w:szCs w:val="24"/>
              </w:rPr>
            </w:pPr>
            <w:r>
              <w:rPr>
                <w:rFonts w:ascii="Times New Roman" w:hAnsi="Times New Roman" w:cs="Times New Roman"/>
                <w:sz w:val="24"/>
                <w:szCs w:val="24"/>
              </w:rPr>
              <w:t>February</w:t>
            </w:r>
            <w:r w:rsidR="00B50D34">
              <w:rPr>
                <w:rFonts w:ascii="Times New Roman" w:hAnsi="Times New Roman" w:cs="Times New Roman"/>
                <w:sz w:val="24"/>
                <w:szCs w:val="24"/>
              </w:rPr>
              <w:t xml:space="preserve"> 2017</w:t>
            </w:r>
            <w:bookmarkStart w:id="0" w:name="_GoBack"/>
            <w:bookmarkEnd w:id="0"/>
          </w:p>
        </w:tc>
      </w:tr>
      <w:tr w:rsidR="00034785" w:rsidRPr="00034785" w:rsidTr="00445788">
        <w:tc>
          <w:tcPr>
            <w:tcW w:w="301" w:type="pct"/>
            <w:shd w:val="clear" w:color="auto" w:fill="FFFFFF" w:themeFill="background1"/>
            <w:tcMar>
              <w:top w:w="0" w:type="dxa"/>
              <w:left w:w="108" w:type="dxa"/>
              <w:bottom w:w="0" w:type="dxa"/>
              <w:right w:w="108" w:type="dxa"/>
            </w:tcMar>
          </w:tcPr>
          <w:p w:rsidR="00034785" w:rsidRPr="00034785" w:rsidRDefault="00034785" w:rsidP="00D5348C">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034785" w:rsidRPr="00034785" w:rsidRDefault="00034785" w:rsidP="00D5348C">
            <w:pPr>
              <w:spacing w:after="0" w:line="240" w:lineRule="auto"/>
              <w:jc w:val="both"/>
              <w:rPr>
                <w:rFonts w:ascii="Times New Roman" w:hAnsi="Times New Roman" w:cs="Times New Roman"/>
                <w:sz w:val="16"/>
                <w:szCs w:val="16"/>
              </w:rPr>
            </w:pPr>
          </w:p>
        </w:tc>
      </w:tr>
      <w:tr w:rsidR="00F9698A" w:rsidRPr="0049024C" w:rsidTr="00445788">
        <w:trPr>
          <w:trHeight w:val="699"/>
        </w:trPr>
        <w:tc>
          <w:tcPr>
            <w:tcW w:w="301" w:type="pct"/>
            <w:shd w:val="clear" w:color="auto" w:fill="FFFFFF"/>
            <w:tcMar>
              <w:top w:w="0" w:type="dxa"/>
              <w:left w:w="108" w:type="dxa"/>
              <w:bottom w:w="0" w:type="dxa"/>
              <w:right w:w="108" w:type="dxa"/>
            </w:tcMar>
          </w:tcPr>
          <w:p w:rsidR="00F9698A" w:rsidRPr="0049024C" w:rsidRDefault="00F9698A"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1782" w:type="pct"/>
            <w:gridSpan w:val="2"/>
            <w:shd w:val="clear" w:color="auto" w:fill="FFFFFF"/>
            <w:tcMar>
              <w:top w:w="0" w:type="dxa"/>
              <w:left w:w="108" w:type="dxa"/>
              <w:bottom w:w="0" w:type="dxa"/>
              <w:right w:w="108" w:type="dxa"/>
            </w:tcMar>
          </w:tcPr>
          <w:p w:rsidR="00F9698A" w:rsidRPr="0049024C" w:rsidRDefault="004E1CEB"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Contact</w:t>
            </w:r>
            <w:r w:rsidR="00F9698A" w:rsidRPr="0049024C">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rsidR="00F9698A" w:rsidRPr="0049024C" w:rsidRDefault="00F9698A"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 xml:space="preserve">JUP </w:t>
            </w:r>
            <w:proofErr w:type="spellStart"/>
            <w:r w:rsidRPr="0049024C">
              <w:rPr>
                <w:rFonts w:ascii="Times New Roman" w:hAnsi="Times New Roman" w:cs="Times New Roman"/>
                <w:sz w:val="24"/>
                <w:szCs w:val="24"/>
              </w:rPr>
              <w:t>Istraživanje</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i</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razvoj</w:t>
            </w:r>
            <w:proofErr w:type="spellEnd"/>
            <w:r w:rsidRPr="0049024C">
              <w:rPr>
                <w:rFonts w:ascii="Times New Roman" w:hAnsi="Times New Roman" w:cs="Times New Roman"/>
                <w:sz w:val="24"/>
                <w:szCs w:val="24"/>
              </w:rPr>
              <w:t xml:space="preserve"> </w:t>
            </w:r>
            <w:proofErr w:type="spellStart"/>
            <w:r w:rsidRPr="0049024C">
              <w:rPr>
                <w:rFonts w:ascii="Times New Roman" w:hAnsi="Times New Roman" w:cs="Times New Roman"/>
                <w:sz w:val="24"/>
                <w:szCs w:val="24"/>
              </w:rPr>
              <w:t>d.o.o</w:t>
            </w:r>
            <w:proofErr w:type="spellEnd"/>
            <w:r w:rsidRPr="0049024C">
              <w:rPr>
                <w:rFonts w:ascii="Times New Roman" w:hAnsi="Times New Roman" w:cs="Times New Roman"/>
                <w:sz w:val="24"/>
                <w:szCs w:val="24"/>
              </w:rPr>
              <w:t>, Beograd</w:t>
            </w:r>
          </w:p>
          <w:p w:rsidR="00F9698A" w:rsidRPr="0049024C" w:rsidRDefault="00F9698A" w:rsidP="00193015">
            <w:pPr>
              <w:spacing w:before="120" w:after="120" w:line="240" w:lineRule="auto"/>
              <w:rPr>
                <w:rFonts w:ascii="Times New Roman" w:hAnsi="Times New Roman" w:cs="Times New Roman"/>
                <w:sz w:val="24"/>
                <w:szCs w:val="24"/>
              </w:rPr>
            </w:pPr>
            <w:r w:rsidRPr="00B50D34">
              <w:rPr>
                <w:rFonts w:ascii="Times New Roman" w:hAnsi="Times New Roman" w:cs="Times New Roman"/>
                <w:sz w:val="24"/>
                <w:szCs w:val="24"/>
              </w:rPr>
              <w:t>e-mail:</w:t>
            </w:r>
            <w:r w:rsidR="00B50D34">
              <w:rPr>
                <w:rFonts w:ascii="Times New Roman" w:hAnsi="Times New Roman" w:cs="Times New Roman"/>
                <w:sz w:val="24"/>
                <w:szCs w:val="24"/>
              </w:rPr>
              <w:t xml:space="preserve"> </w:t>
            </w:r>
            <w:hyperlink r:id="rId11" w:history="1">
              <w:r w:rsidR="00193015" w:rsidRPr="001E6BD5">
                <w:rPr>
                  <w:rStyle w:val="Hyperlink"/>
                  <w:rFonts w:ascii="Times New Roman" w:hAnsi="Times New Roman" w:cs="Times New Roman"/>
                  <w:sz w:val="24"/>
                  <w:szCs w:val="24"/>
                  <w:lang w:val="sr-Latn-CS"/>
                </w:rPr>
                <w:t>dejan.domanovic</w:t>
              </w:r>
              <w:r w:rsidR="00193015" w:rsidRPr="001E6BD5">
                <w:rPr>
                  <w:rStyle w:val="Hyperlink"/>
                  <w:rFonts w:ascii="Times New Roman" w:hAnsi="Times New Roman" w:cs="Times New Roman"/>
                  <w:sz w:val="24"/>
                  <w:szCs w:val="24"/>
                  <w:lang w:val="en-US"/>
                </w:rPr>
                <w:t>@piu.rs</w:t>
              </w:r>
            </w:hyperlink>
            <w:r w:rsidR="00193015">
              <w:rPr>
                <w:rFonts w:ascii="Times New Roman" w:hAnsi="Times New Roman" w:cs="Times New Roman"/>
                <w:sz w:val="24"/>
                <w:szCs w:val="24"/>
                <w:lang w:val="en-US"/>
              </w:rPr>
              <w:t xml:space="preserve"> </w:t>
            </w:r>
          </w:p>
        </w:tc>
      </w:tr>
      <w:tr w:rsidR="00034785" w:rsidRPr="00034785" w:rsidTr="00445788">
        <w:tc>
          <w:tcPr>
            <w:tcW w:w="301" w:type="pct"/>
            <w:shd w:val="clear" w:color="auto" w:fill="FFFFFF" w:themeFill="background1"/>
            <w:tcMar>
              <w:top w:w="0" w:type="dxa"/>
              <w:left w:w="108" w:type="dxa"/>
              <w:bottom w:w="0" w:type="dxa"/>
              <w:right w:w="108" w:type="dxa"/>
            </w:tcMar>
          </w:tcPr>
          <w:p w:rsidR="00034785" w:rsidRPr="00034785" w:rsidRDefault="00034785" w:rsidP="00D5348C">
            <w:pPr>
              <w:tabs>
                <w:tab w:val="left" w:pos="846"/>
                <w:tab w:val="left" w:pos="1002"/>
                <w:tab w:val="left" w:pos="1284"/>
              </w:tabs>
              <w:spacing w:after="0" w:line="240" w:lineRule="auto"/>
              <w:ind w:left="360" w:right="12"/>
              <w:rPr>
                <w:rFonts w:ascii="Times New Roman" w:hAnsi="Times New Roman" w:cs="Times New Roman"/>
                <w:sz w:val="16"/>
                <w:szCs w:val="16"/>
              </w:rPr>
            </w:pPr>
          </w:p>
        </w:tc>
        <w:tc>
          <w:tcPr>
            <w:tcW w:w="4699" w:type="pct"/>
            <w:gridSpan w:val="4"/>
            <w:shd w:val="clear" w:color="auto" w:fill="FFFFFF" w:themeFill="background1"/>
            <w:tcMar>
              <w:top w:w="0" w:type="dxa"/>
              <w:left w:w="108" w:type="dxa"/>
              <w:bottom w:w="0" w:type="dxa"/>
              <w:right w:w="108" w:type="dxa"/>
            </w:tcMar>
          </w:tcPr>
          <w:p w:rsidR="00034785" w:rsidRPr="00034785" w:rsidRDefault="00034785" w:rsidP="00D5348C">
            <w:pPr>
              <w:spacing w:after="0" w:line="240" w:lineRule="auto"/>
              <w:jc w:val="both"/>
              <w:rPr>
                <w:rFonts w:ascii="Times New Roman" w:hAnsi="Times New Roman" w:cs="Times New Roman"/>
                <w:sz w:val="16"/>
                <w:szCs w:val="16"/>
              </w:rPr>
            </w:pPr>
          </w:p>
        </w:tc>
      </w:tr>
      <w:tr w:rsidR="008F1B3B" w:rsidRPr="0049024C" w:rsidTr="00445788">
        <w:tc>
          <w:tcPr>
            <w:tcW w:w="301" w:type="pct"/>
            <w:shd w:val="clear" w:color="auto" w:fill="FFFFFF"/>
            <w:tcMar>
              <w:top w:w="0" w:type="dxa"/>
              <w:left w:w="108" w:type="dxa"/>
              <w:bottom w:w="0" w:type="dxa"/>
              <w:right w:w="108" w:type="dxa"/>
            </w:tcMar>
          </w:tcPr>
          <w:p w:rsidR="008F1B3B" w:rsidRPr="0049024C" w:rsidRDefault="008F1B3B" w:rsidP="00193015">
            <w:pPr>
              <w:pStyle w:val="ListParagraph"/>
              <w:numPr>
                <w:ilvl w:val="0"/>
                <w:numId w:val="3"/>
              </w:numPr>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FFFFFF"/>
            <w:tcMar>
              <w:top w:w="0" w:type="dxa"/>
              <w:left w:w="108" w:type="dxa"/>
              <w:bottom w:w="0" w:type="dxa"/>
              <w:right w:w="108" w:type="dxa"/>
            </w:tcMar>
          </w:tcPr>
          <w:p w:rsidR="008F1B3B" w:rsidRPr="0049024C" w:rsidRDefault="008F1B3B" w:rsidP="00193015">
            <w:pPr>
              <w:spacing w:before="120" w:after="120" w:line="240" w:lineRule="auto"/>
              <w:rPr>
                <w:rFonts w:ascii="Times New Roman" w:hAnsi="Times New Roman" w:cs="Times New Roman"/>
                <w:sz w:val="24"/>
                <w:szCs w:val="24"/>
              </w:rPr>
            </w:pPr>
            <w:r w:rsidRPr="0049024C">
              <w:rPr>
                <w:rFonts w:ascii="Times New Roman" w:hAnsi="Times New Roman" w:cs="Times New Roman"/>
                <w:sz w:val="24"/>
                <w:szCs w:val="24"/>
              </w:rPr>
              <w:t>Other information:</w:t>
            </w:r>
          </w:p>
        </w:tc>
      </w:tr>
      <w:tr w:rsidR="00F9698A" w:rsidRPr="0049024C" w:rsidTr="00445788">
        <w:trPr>
          <w:trHeight w:val="1371"/>
        </w:trPr>
        <w:tc>
          <w:tcPr>
            <w:tcW w:w="301" w:type="pct"/>
            <w:shd w:val="clear" w:color="auto" w:fill="FFFFFF"/>
            <w:tcMar>
              <w:top w:w="0" w:type="dxa"/>
              <w:left w:w="108" w:type="dxa"/>
              <w:bottom w:w="0" w:type="dxa"/>
              <w:right w:w="108" w:type="dxa"/>
            </w:tcMar>
          </w:tcPr>
          <w:p w:rsidR="00F9698A" w:rsidRPr="0049024C" w:rsidRDefault="00F9698A" w:rsidP="00193015">
            <w:pPr>
              <w:pStyle w:val="ListParagraph"/>
              <w:tabs>
                <w:tab w:val="left" w:pos="846"/>
                <w:tab w:val="left" w:pos="1002"/>
                <w:tab w:val="left" w:pos="1284"/>
              </w:tabs>
              <w:spacing w:before="120" w:after="120" w:line="240" w:lineRule="auto"/>
              <w:ind w:left="282" w:right="12" w:hanging="225"/>
              <w:rPr>
                <w:rFonts w:ascii="Times New Roman" w:hAnsi="Times New Roman" w:cs="Times New Roman"/>
                <w:sz w:val="24"/>
                <w:szCs w:val="24"/>
              </w:rPr>
            </w:pPr>
          </w:p>
        </w:tc>
        <w:tc>
          <w:tcPr>
            <w:tcW w:w="4699" w:type="pct"/>
            <w:gridSpan w:val="4"/>
            <w:shd w:val="clear" w:color="auto" w:fill="C6D9F1"/>
            <w:tcMar>
              <w:top w:w="0" w:type="dxa"/>
              <w:left w:w="108" w:type="dxa"/>
              <w:bottom w:w="0" w:type="dxa"/>
              <w:right w:w="108" w:type="dxa"/>
            </w:tcMar>
          </w:tcPr>
          <w:p w:rsidR="008F1B3B" w:rsidRPr="0049024C" w:rsidRDefault="008F1B3B" w:rsidP="00193015">
            <w:pPr>
              <w:spacing w:before="120" w:after="120" w:line="240" w:lineRule="auto"/>
              <w:jc w:val="both"/>
              <w:rPr>
                <w:rFonts w:ascii="Times New Roman" w:hAnsi="Times New Roman" w:cs="Times New Roman"/>
                <w:sz w:val="24"/>
                <w:szCs w:val="24"/>
              </w:rPr>
            </w:pPr>
            <w:r w:rsidRPr="0049024C">
              <w:rPr>
                <w:rFonts w:ascii="Times New Roman" w:hAnsi="Times New Roman" w:cs="Times New Roman"/>
                <w:sz w:val="24"/>
                <w:szCs w:val="24"/>
              </w:rPr>
              <w:t xml:space="preserve">Procurement of supplies, works and services financed under the Country Housing Project in the Republic of Serbia are prepared, awarded and </w:t>
            </w:r>
            <w:r w:rsidR="0049024C" w:rsidRPr="0049024C">
              <w:rPr>
                <w:rFonts w:ascii="Times New Roman" w:hAnsi="Times New Roman" w:cs="Times New Roman"/>
                <w:sz w:val="24"/>
                <w:szCs w:val="24"/>
              </w:rPr>
              <w:t>organised</w:t>
            </w:r>
            <w:r w:rsidRPr="0049024C">
              <w:rPr>
                <w:rFonts w:ascii="Times New Roman" w:hAnsi="Times New Roman" w:cs="Times New Roman"/>
                <w:sz w:val="24"/>
                <w:szCs w:val="24"/>
              </w:rPr>
              <w:t xml:space="preserve"> in conjunction with Partner Countries and in accordance with the CEB Guidelines for Procurement of supplies, works and services, as publically available on its website:</w:t>
            </w:r>
          </w:p>
          <w:p w:rsidR="00F9698A" w:rsidRPr="0049024C" w:rsidRDefault="00F00575" w:rsidP="00193015">
            <w:pPr>
              <w:spacing w:before="120" w:after="120" w:line="240" w:lineRule="auto"/>
              <w:jc w:val="both"/>
              <w:rPr>
                <w:rFonts w:ascii="Times New Roman" w:hAnsi="Times New Roman" w:cs="Times New Roman"/>
                <w:sz w:val="24"/>
                <w:szCs w:val="24"/>
              </w:rPr>
            </w:pPr>
            <w:hyperlink r:id="rId12" w:history="1">
              <w:r w:rsidR="00F9698A" w:rsidRPr="0049024C">
                <w:rPr>
                  <w:rStyle w:val="Hyperlink"/>
                  <w:rFonts w:ascii="Times New Roman" w:hAnsi="Times New Roman" w:cs="Times New Roman"/>
                  <w:sz w:val="24"/>
                  <w:szCs w:val="24"/>
                </w:rPr>
                <w:t>http://www.coebank.org/Upload/legal/en/procurement_guidelines.pdf</w:t>
              </w:r>
            </w:hyperlink>
          </w:p>
        </w:tc>
      </w:tr>
    </w:tbl>
    <w:p w:rsidR="002D6E25" w:rsidRPr="0049024C" w:rsidRDefault="002D6E25" w:rsidP="00193015">
      <w:pPr>
        <w:spacing w:before="120" w:after="120" w:line="240" w:lineRule="auto"/>
        <w:rPr>
          <w:rFonts w:ascii="Times New Roman" w:hAnsi="Times New Roman" w:cs="Times New Roman"/>
          <w:sz w:val="24"/>
          <w:szCs w:val="24"/>
        </w:rPr>
      </w:pPr>
    </w:p>
    <w:p w:rsidR="00193015" w:rsidRPr="0049024C" w:rsidRDefault="00193015">
      <w:pPr>
        <w:spacing w:before="120" w:after="120" w:line="240" w:lineRule="auto"/>
        <w:rPr>
          <w:rFonts w:ascii="Times New Roman" w:hAnsi="Times New Roman" w:cs="Times New Roman"/>
          <w:sz w:val="24"/>
          <w:szCs w:val="24"/>
        </w:rPr>
      </w:pPr>
    </w:p>
    <w:sectPr w:rsidR="00193015" w:rsidRPr="0049024C" w:rsidSect="002D6E25">
      <w:footerReference w:type="default" r:id="rId13"/>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75" w:rsidRDefault="00F00575" w:rsidP="00083F35">
      <w:pPr>
        <w:spacing w:after="0" w:line="240" w:lineRule="auto"/>
      </w:pPr>
      <w:r>
        <w:separator/>
      </w:r>
    </w:p>
  </w:endnote>
  <w:endnote w:type="continuationSeparator" w:id="0">
    <w:p w:rsidR="00F00575" w:rsidRDefault="00F00575"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EE"/>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287" w:usb1="0062C208" w:usb2="43407428" w:usb3="49575C3A" w:csb0="574F444F" w:csb1="45545C53"/>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083F35" w:rsidRPr="00F5074E" w:rsidTr="00332E22">
      <w:tc>
        <w:tcPr>
          <w:tcW w:w="4773" w:type="dxa"/>
          <w:shd w:val="clear" w:color="auto" w:fill="auto"/>
        </w:tcPr>
        <w:p w:rsidR="00083F35" w:rsidRPr="00F5074E" w:rsidRDefault="00083F35" w:rsidP="008F1B3B">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7A5FF3">
            <w:rPr>
              <w:rFonts w:ascii="Roboto" w:hAnsi="Roboto"/>
              <w:sz w:val="20"/>
              <w:szCs w:val="20"/>
              <w:lang w:val="sr-Latn-CS"/>
            </w:rPr>
            <w:t>5</w:t>
          </w:r>
          <w:r w:rsidRPr="00F5074E">
            <w:rPr>
              <w:rFonts w:ascii="Roboto" w:hAnsi="Roboto"/>
              <w:sz w:val="20"/>
              <w:szCs w:val="20"/>
              <w:lang w:val="sr-Latn-CS"/>
            </w:rPr>
            <w:t xml:space="preserve"> </w:t>
          </w:r>
          <w:r w:rsidR="009432B5" w:rsidRPr="00F5074E">
            <w:rPr>
              <w:rFonts w:ascii="Roboto" w:hAnsi="Roboto"/>
              <w:sz w:val="20"/>
              <w:szCs w:val="20"/>
              <w:lang w:val="sr-Latn-CS"/>
            </w:rPr>
            <w:t>–</w:t>
          </w:r>
          <w:r w:rsidRPr="00F5074E">
            <w:rPr>
              <w:rFonts w:ascii="Roboto" w:hAnsi="Roboto"/>
              <w:sz w:val="20"/>
              <w:szCs w:val="20"/>
              <w:lang w:val="sr-Latn-CS"/>
            </w:rPr>
            <w:t xml:space="preserve"> </w:t>
          </w:r>
          <w:r w:rsidR="008F1B3B">
            <w:rPr>
              <w:rFonts w:ascii="Roboto" w:hAnsi="Roboto"/>
              <w:sz w:val="20"/>
              <w:szCs w:val="20"/>
              <w:lang w:val="sr-Latn-CS"/>
            </w:rPr>
            <w:t>Regional Housing Programme</w:t>
          </w:r>
        </w:p>
      </w:tc>
      <w:tc>
        <w:tcPr>
          <w:tcW w:w="4515" w:type="dxa"/>
          <w:shd w:val="clear" w:color="auto" w:fill="auto"/>
        </w:tcPr>
        <w:p w:rsidR="00083F35" w:rsidRPr="00F5074E" w:rsidRDefault="008F1B3B" w:rsidP="00083F3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0031257E"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31257E" w:rsidRPr="00F5074E">
            <w:rPr>
              <w:rFonts w:ascii="Roboto" w:hAnsi="Roboto"/>
              <w:sz w:val="20"/>
              <w:szCs w:val="20"/>
              <w:lang w:val="sr-Latn-CS"/>
            </w:rPr>
            <w:fldChar w:fldCharType="separate"/>
          </w:r>
          <w:r w:rsidR="00597492">
            <w:rPr>
              <w:rFonts w:ascii="Roboto" w:hAnsi="Roboto"/>
              <w:noProof/>
              <w:sz w:val="20"/>
              <w:szCs w:val="20"/>
              <w:lang w:val="sr-Latn-CS"/>
            </w:rPr>
            <w:t>1</w:t>
          </w:r>
          <w:r w:rsidR="0031257E" w:rsidRPr="00F5074E">
            <w:rPr>
              <w:rFonts w:ascii="Roboto" w:hAnsi="Roboto"/>
              <w:noProof/>
              <w:sz w:val="20"/>
              <w:szCs w:val="20"/>
              <w:lang w:val="sr-Latn-CS"/>
            </w:rPr>
            <w:fldChar w:fldCharType="end"/>
          </w:r>
        </w:p>
      </w:tc>
    </w:tr>
  </w:tbl>
  <w:p w:rsidR="00083F35" w:rsidRPr="00F5074E" w:rsidRDefault="00083F35" w:rsidP="00083F35">
    <w:pPr>
      <w:pStyle w:val="Footer"/>
      <w:rPr>
        <w:lang w:val="sr-Latn-CS"/>
      </w:rPr>
    </w:pPr>
  </w:p>
  <w:p w:rsidR="00083F35" w:rsidRDefault="00083F35" w:rsidP="00083F35">
    <w:pPr>
      <w:pStyle w:val="Footer"/>
    </w:pPr>
  </w:p>
  <w:p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75" w:rsidRDefault="00F00575" w:rsidP="00083F35">
      <w:pPr>
        <w:spacing w:after="0" w:line="240" w:lineRule="auto"/>
      </w:pPr>
      <w:r>
        <w:separator/>
      </w:r>
    </w:p>
  </w:footnote>
  <w:footnote w:type="continuationSeparator" w:id="0">
    <w:p w:rsidR="00F00575" w:rsidRDefault="00F00575"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5273F85"/>
    <w:multiLevelType w:val="hybridMultilevel"/>
    <w:tmpl w:val="32C2C88C"/>
    <w:lvl w:ilvl="0" w:tplc="1C9CD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00B2E"/>
    <w:multiLevelType w:val="multilevel"/>
    <w:tmpl w:val="040B001F"/>
    <w:numStyleLink w:val="Style1"/>
  </w:abstractNum>
  <w:abstractNum w:abstractNumId="9">
    <w:nsid w:val="1B831C9E"/>
    <w:multiLevelType w:val="hybridMultilevel"/>
    <w:tmpl w:val="67048956"/>
    <w:lvl w:ilvl="0" w:tplc="0A38415C">
      <w:start w:val="1"/>
      <w:numFmt w:val="lowerLetter"/>
      <w:lvlText w:val="%1)"/>
      <w:lvlJc w:val="left"/>
      <w:pPr>
        <w:ind w:left="927" w:hanging="360"/>
      </w:pPr>
      <w:rPr>
        <w:rFonts w:hint="default"/>
        <w:b/>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1">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111A3D"/>
    <w:multiLevelType w:val="hybridMultilevel"/>
    <w:tmpl w:val="97A86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BB7DDE"/>
    <w:multiLevelType w:val="hybridMultilevel"/>
    <w:tmpl w:val="32C2C88C"/>
    <w:lvl w:ilvl="0" w:tplc="1C9CD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1">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A6709C8"/>
    <w:multiLevelType w:val="hybridMultilevel"/>
    <w:tmpl w:val="67048956"/>
    <w:lvl w:ilvl="0" w:tplc="0A38415C">
      <w:start w:val="1"/>
      <w:numFmt w:val="lowerLetter"/>
      <w:lvlText w:val="%1)"/>
      <w:lvlJc w:val="left"/>
      <w:pPr>
        <w:ind w:left="927" w:hanging="360"/>
      </w:pPr>
      <w:rPr>
        <w:rFonts w:hint="default"/>
        <w:b/>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6">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0">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6B986A63"/>
    <w:multiLevelType w:val="hybridMultilevel"/>
    <w:tmpl w:val="67048956"/>
    <w:lvl w:ilvl="0" w:tplc="0A38415C">
      <w:start w:val="1"/>
      <w:numFmt w:val="lowerLetter"/>
      <w:lvlText w:val="%1)"/>
      <w:lvlJc w:val="left"/>
      <w:pPr>
        <w:ind w:left="927" w:hanging="360"/>
      </w:pPr>
      <w:rPr>
        <w:rFonts w:hint="default"/>
        <w:b/>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7">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2810498"/>
    <w:multiLevelType w:val="hybridMultilevel"/>
    <w:tmpl w:val="D9007386"/>
    <w:lvl w:ilvl="0" w:tplc="461C12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1"/>
  </w:num>
  <w:num w:numId="3">
    <w:abstractNumId w:val="12"/>
  </w:num>
  <w:num w:numId="4">
    <w:abstractNumId w:val="33"/>
  </w:num>
  <w:num w:numId="5">
    <w:abstractNumId w:val="13"/>
  </w:num>
  <w:num w:numId="6">
    <w:abstractNumId w:val="18"/>
  </w:num>
  <w:num w:numId="7">
    <w:abstractNumId w:val="28"/>
  </w:num>
  <w:num w:numId="8">
    <w:abstractNumId w:val="27"/>
  </w:num>
  <w:num w:numId="9">
    <w:abstractNumId w:val="35"/>
  </w:num>
  <w:num w:numId="10">
    <w:abstractNumId w:val="8"/>
  </w:num>
  <w:num w:numId="11">
    <w:abstractNumId w:val="11"/>
  </w:num>
  <w:num w:numId="12">
    <w:abstractNumId w:val="2"/>
  </w:num>
  <w:num w:numId="13">
    <w:abstractNumId w:val="17"/>
  </w:num>
  <w:num w:numId="14">
    <w:abstractNumId w:val="41"/>
  </w:num>
  <w:num w:numId="15">
    <w:abstractNumId w:val="25"/>
  </w:num>
  <w:num w:numId="16">
    <w:abstractNumId w:val="19"/>
  </w:num>
  <w:num w:numId="17">
    <w:abstractNumId w:val="20"/>
  </w:num>
  <w:num w:numId="18">
    <w:abstractNumId w:val="10"/>
  </w:num>
  <w:num w:numId="19">
    <w:abstractNumId w:val="32"/>
    <w:lvlOverride w:ilvl="0">
      <w:startOverride w:val="1"/>
    </w:lvlOverride>
  </w:num>
  <w:num w:numId="20">
    <w:abstractNumId w:val="29"/>
  </w:num>
  <w:num w:numId="21">
    <w:abstractNumId w:val="16"/>
  </w:num>
  <w:num w:numId="22">
    <w:abstractNumId w:val="31"/>
  </w:num>
  <w:num w:numId="23">
    <w:abstractNumId w:val="37"/>
  </w:num>
  <w:num w:numId="24">
    <w:abstractNumId w:val="38"/>
  </w:num>
  <w:num w:numId="25">
    <w:abstractNumId w:val="36"/>
  </w:num>
  <w:num w:numId="26">
    <w:abstractNumId w:val="40"/>
  </w:num>
  <w:num w:numId="27">
    <w:abstractNumId w:val="42"/>
  </w:num>
  <w:num w:numId="28">
    <w:abstractNumId w:val="42"/>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6"/>
  </w:num>
  <w:num w:numId="30">
    <w:abstractNumId w:val="3"/>
  </w:num>
  <w:num w:numId="31">
    <w:abstractNumId w:val="1"/>
  </w:num>
  <w:num w:numId="32">
    <w:abstractNumId w:val="23"/>
  </w:num>
  <w:num w:numId="33">
    <w:abstractNumId w:val="26"/>
  </w:num>
  <w:num w:numId="34">
    <w:abstractNumId w:val="0"/>
  </w:num>
  <w:num w:numId="35">
    <w:abstractNumId w:val="5"/>
  </w:num>
  <w:num w:numId="36">
    <w:abstractNumId w:val="15"/>
  </w:num>
  <w:num w:numId="37">
    <w:abstractNumId w:val="22"/>
  </w:num>
  <w:num w:numId="38">
    <w:abstractNumId w:val="9"/>
  </w:num>
  <w:num w:numId="39">
    <w:abstractNumId w:val="30"/>
  </w:num>
  <w:num w:numId="40">
    <w:abstractNumId w:val="39"/>
  </w:num>
  <w:num w:numId="41">
    <w:abstractNumId w:val="14"/>
  </w:num>
  <w:num w:numId="42">
    <w:abstractNumId w:val="7"/>
  </w:num>
  <w:num w:numId="43">
    <w:abstractNumId w:val="2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33C0"/>
    <w:rsid w:val="00005BE2"/>
    <w:rsid w:val="00011DE5"/>
    <w:rsid w:val="00013B9B"/>
    <w:rsid w:val="00016B22"/>
    <w:rsid w:val="00021B6A"/>
    <w:rsid w:val="00023254"/>
    <w:rsid w:val="00031712"/>
    <w:rsid w:val="00033918"/>
    <w:rsid w:val="00034785"/>
    <w:rsid w:val="000430BD"/>
    <w:rsid w:val="0005077D"/>
    <w:rsid w:val="000532DB"/>
    <w:rsid w:val="00054E01"/>
    <w:rsid w:val="00055AD5"/>
    <w:rsid w:val="00055D3F"/>
    <w:rsid w:val="0006550E"/>
    <w:rsid w:val="00065818"/>
    <w:rsid w:val="000677D9"/>
    <w:rsid w:val="00081FA7"/>
    <w:rsid w:val="00083F35"/>
    <w:rsid w:val="0009352E"/>
    <w:rsid w:val="00093924"/>
    <w:rsid w:val="000939BF"/>
    <w:rsid w:val="000952E6"/>
    <w:rsid w:val="00096388"/>
    <w:rsid w:val="000A1FA5"/>
    <w:rsid w:val="000A4162"/>
    <w:rsid w:val="000A68FC"/>
    <w:rsid w:val="000B3DF3"/>
    <w:rsid w:val="000B4C17"/>
    <w:rsid w:val="000B50C2"/>
    <w:rsid w:val="000C24E9"/>
    <w:rsid w:val="000D07CF"/>
    <w:rsid w:val="000D20F0"/>
    <w:rsid w:val="000D6EF0"/>
    <w:rsid w:val="000E0BA6"/>
    <w:rsid w:val="000E0E3C"/>
    <w:rsid w:val="000E259C"/>
    <w:rsid w:val="000E317E"/>
    <w:rsid w:val="000F2A3F"/>
    <w:rsid w:val="000F550E"/>
    <w:rsid w:val="00105F3A"/>
    <w:rsid w:val="00114C96"/>
    <w:rsid w:val="001218EA"/>
    <w:rsid w:val="0012293E"/>
    <w:rsid w:val="00124436"/>
    <w:rsid w:val="0012515E"/>
    <w:rsid w:val="001261A9"/>
    <w:rsid w:val="001311AB"/>
    <w:rsid w:val="001321F5"/>
    <w:rsid w:val="0013478F"/>
    <w:rsid w:val="00134E79"/>
    <w:rsid w:val="001472D7"/>
    <w:rsid w:val="00147F26"/>
    <w:rsid w:val="001537F3"/>
    <w:rsid w:val="00155176"/>
    <w:rsid w:val="001572BB"/>
    <w:rsid w:val="001859AA"/>
    <w:rsid w:val="001859F5"/>
    <w:rsid w:val="00193015"/>
    <w:rsid w:val="00195D05"/>
    <w:rsid w:val="001A4007"/>
    <w:rsid w:val="001B3EC5"/>
    <w:rsid w:val="001B4A29"/>
    <w:rsid w:val="001C5F3D"/>
    <w:rsid w:val="001D0D59"/>
    <w:rsid w:val="001E37E8"/>
    <w:rsid w:val="001E6119"/>
    <w:rsid w:val="001F550B"/>
    <w:rsid w:val="002140D1"/>
    <w:rsid w:val="00215659"/>
    <w:rsid w:val="002207C4"/>
    <w:rsid w:val="00220AE2"/>
    <w:rsid w:val="00220D68"/>
    <w:rsid w:val="00221593"/>
    <w:rsid w:val="00230DE3"/>
    <w:rsid w:val="002324D3"/>
    <w:rsid w:val="002345A3"/>
    <w:rsid w:val="00235149"/>
    <w:rsid w:val="002361B0"/>
    <w:rsid w:val="0024580B"/>
    <w:rsid w:val="00246CA2"/>
    <w:rsid w:val="00250454"/>
    <w:rsid w:val="00250746"/>
    <w:rsid w:val="002519CE"/>
    <w:rsid w:val="002520DD"/>
    <w:rsid w:val="00253AD2"/>
    <w:rsid w:val="00260CB1"/>
    <w:rsid w:val="00261625"/>
    <w:rsid w:val="00274922"/>
    <w:rsid w:val="0027644A"/>
    <w:rsid w:val="00281E01"/>
    <w:rsid w:val="00284980"/>
    <w:rsid w:val="002903BB"/>
    <w:rsid w:val="00295600"/>
    <w:rsid w:val="002A191C"/>
    <w:rsid w:val="002A271B"/>
    <w:rsid w:val="002A3900"/>
    <w:rsid w:val="002A52A2"/>
    <w:rsid w:val="002B05B9"/>
    <w:rsid w:val="002B51CF"/>
    <w:rsid w:val="002B65C9"/>
    <w:rsid w:val="002B699C"/>
    <w:rsid w:val="002C1C1D"/>
    <w:rsid w:val="002D6AD7"/>
    <w:rsid w:val="002D6E25"/>
    <w:rsid w:val="002F55CB"/>
    <w:rsid w:val="00306A8F"/>
    <w:rsid w:val="00310452"/>
    <w:rsid w:val="0031257E"/>
    <w:rsid w:val="0031288D"/>
    <w:rsid w:val="00317D85"/>
    <w:rsid w:val="003202C7"/>
    <w:rsid w:val="00332CB2"/>
    <w:rsid w:val="00345CC7"/>
    <w:rsid w:val="00346AF0"/>
    <w:rsid w:val="003473FD"/>
    <w:rsid w:val="00352606"/>
    <w:rsid w:val="00355A86"/>
    <w:rsid w:val="00362F64"/>
    <w:rsid w:val="003779ED"/>
    <w:rsid w:val="00380CD7"/>
    <w:rsid w:val="00392929"/>
    <w:rsid w:val="00394072"/>
    <w:rsid w:val="00394F6F"/>
    <w:rsid w:val="003A0CF2"/>
    <w:rsid w:val="003A4446"/>
    <w:rsid w:val="003A5199"/>
    <w:rsid w:val="003B2BF8"/>
    <w:rsid w:val="003C3679"/>
    <w:rsid w:val="003D7EE1"/>
    <w:rsid w:val="003E190B"/>
    <w:rsid w:val="003E56C8"/>
    <w:rsid w:val="003F0D07"/>
    <w:rsid w:val="003F2C54"/>
    <w:rsid w:val="00400652"/>
    <w:rsid w:val="00412946"/>
    <w:rsid w:val="00412F3F"/>
    <w:rsid w:val="0041755B"/>
    <w:rsid w:val="00417D2C"/>
    <w:rsid w:val="00417FA0"/>
    <w:rsid w:val="0042053E"/>
    <w:rsid w:val="00421C6D"/>
    <w:rsid w:val="004234A0"/>
    <w:rsid w:val="00433B22"/>
    <w:rsid w:val="00436BFB"/>
    <w:rsid w:val="004408A2"/>
    <w:rsid w:val="004418A0"/>
    <w:rsid w:val="00442AFA"/>
    <w:rsid w:val="0044518B"/>
    <w:rsid w:val="00445788"/>
    <w:rsid w:val="00447DEA"/>
    <w:rsid w:val="004502B4"/>
    <w:rsid w:val="004511C2"/>
    <w:rsid w:val="004602EC"/>
    <w:rsid w:val="00460C34"/>
    <w:rsid w:val="00463902"/>
    <w:rsid w:val="00464BB5"/>
    <w:rsid w:val="00481B56"/>
    <w:rsid w:val="0049024C"/>
    <w:rsid w:val="0049469D"/>
    <w:rsid w:val="0049529A"/>
    <w:rsid w:val="00496D03"/>
    <w:rsid w:val="004A080A"/>
    <w:rsid w:val="004A083A"/>
    <w:rsid w:val="004A4FD9"/>
    <w:rsid w:val="004A689C"/>
    <w:rsid w:val="004B6369"/>
    <w:rsid w:val="004E1CEB"/>
    <w:rsid w:val="004E4DE2"/>
    <w:rsid w:val="004F051B"/>
    <w:rsid w:val="004F763E"/>
    <w:rsid w:val="004F7C39"/>
    <w:rsid w:val="005000A6"/>
    <w:rsid w:val="00501254"/>
    <w:rsid w:val="005028A2"/>
    <w:rsid w:val="00507486"/>
    <w:rsid w:val="005135C1"/>
    <w:rsid w:val="005145B9"/>
    <w:rsid w:val="00521E5B"/>
    <w:rsid w:val="005233C7"/>
    <w:rsid w:val="005260B6"/>
    <w:rsid w:val="00526B09"/>
    <w:rsid w:val="005279C3"/>
    <w:rsid w:val="00537D80"/>
    <w:rsid w:val="00542712"/>
    <w:rsid w:val="00544621"/>
    <w:rsid w:val="005451F0"/>
    <w:rsid w:val="00547C18"/>
    <w:rsid w:val="00552786"/>
    <w:rsid w:val="00553B7D"/>
    <w:rsid w:val="0055433D"/>
    <w:rsid w:val="00555C8A"/>
    <w:rsid w:val="0056096E"/>
    <w:rsid w:val="005638AF"/>
    <w:rsid w:val="0056767C"/>
    <w:rsid w:val="005758C2"/>
    <w:rsid w:val="005873EB"/>
    <w:rsid w:val="0059284E"/>
    <w:rsid w:val="00597492"/>
    <w:rsid w:val="005B1722"/>
    <w:rsid w:val="005B785D"/>
    <w:rsid w:val="005C12E1"/>
    <w:rsid w:val="005D2B0C"/>
    <w:rsid w:val="0060136A"/>
    <w:rsid w:val="006023AF"/>
    <w:rsid w:val="00606877"/>
    <w:rsid w:val="00620BB9"/>
    <w:rsid w:val="00621E23"/>
    <w:rsid w:val="00623D43"/>
    <w:rsid w:val="0062567A"/>
    <w:rsid w:val="00627C47"/>
    <w:rsid w:val="00630775"/>
    <w:rsid w:val="00636F9D"/>
    <w:rsid w:val="006655D3"/>
    <w:rsid w:val="00667F69"/>
    <w:rsid w:val="00674932"/>
    <w:rsid w:val="00681F84"/>
    <w:rsid w:val="00687AC1"/>
    <w:rsid w:val="00687B7F"/>
    <w:rsid w:val="006A0D32"/>
    <w:rsid w:val="006B7537"/>
    <w:rsid w:val="006C15A8"/>
    <w:rsid w:val="006C2566"/>
    <w:rsid w:val="006D28FD"/>
    <w:rsid w:val="006E2D1F"/>
    <w:rsid w:val="006E494D"/>
    <w:rsid w:val="006E69D8"/>
    <w:rsid w:val="006F2451"/>
    <w:rsid w:val="006F5BCA"/>
    <w:rsid w:val="007060FF"/>
    <w:rsid w:val="007146FA"/>
    <w:rsid w:val="00720EB3"/>
    <w:rsid w:val="007235BC"/>
    <w:rsid w:val="00723EE1"/>
    <w:rsid w:val="007244FC"/>
    <w:rsid w:val="00731FD8"/>
    <w:rsid w:val="00732780"/>
    <w:rsid w:val="00732D76"/>
    <w:rsid w:val="0073701C"/>
    <w:rsid w:val="00744858"/>
    <w:rsid w:val="00745EEB"/>
    <w:rsid w:val="00746365"/>
    <w:rsid w:val="0074669E"/>
    <w:rsid w:val="0075079A"/>
    <w:rsid w:val="00751F1A"/>
    <w:rsid w:val="0075343C"/>
    <w:rsid w:val="00763D6C"/>
    <w:rsid w:val="00773AC3"/>
    <w:rsid w:val="00781785"/>
    <w:rsid w:val="007848D6"/>
    <w:rsid w:val="0078794D"/>
    <w:rsid w:val="00790B38"/>
    <w:rsid w:val="00792E99"/>
    <w:rsid w:val="007A45EA"/>
    <w:rsid w:val="007A5FF3"/>
    <w:rsid w:val="007A7D86"/>
    <w:rsid w:val="007B2F5F"/>
    <w:rsid w:val="007C1FAF"/>
    <w:rsid w:val="007C7AEB"/>
    <w:rsid w:val="007E1F6F"/>
    <w:rsid w:val="007E34F5"/>
    <w:rsid w:val="007E3A0A"/>
    <w:rsid w:val="007F0F3B"/>
    <w:rsid w:val="00800465"/>
    <w:rsid w:val="00802BA6"/>
    <w:rsid w:val="00803D57"/>
    <w:rsid w:val="00820A99"/>
    <w:rsid w:val="00822390"/>
    <w:rsid w:val="008263C1"/>
    <w:rsid w:val="00831FC2"/>
    <w:rsid w:val="0083492C"/>
    <w:rsid w:val="00842682"/>
    <w:rsid w:val="0084337A"/>
    <w:rsid w:val="008473F8"/>
    <w:rsid w:val="00850233"/>
    <w:rsid w:val="00855428"/>
    <w:rsid w:val="00870D84"/>
    <w:rsid w:val="008727AE"/>
    <w:rsid w:val="00877871"/>
    <w:rsid w:val="0088741C"/>
    <w:rsid w:val="008960BD"/>
    <w:rsid w:val="00897454"/>
    <w:rsid w:val="008A445F"/>
    <w:rsid w:val="008A52B3"/>
    <w:rsid w:val="008B14CE"/>
    <w:rsid w:val="008B3F47"/>
    <w:rsid w:val="008B7AF9"/>
    <w:rsid w:val="008D0286"/>
    <w:rsid w:val="008D3F78"/>
    <w:rsid w:val="008F1B3B"/>
    <w:rsid w:val="008F35AF"/>
    <w:rsid w:val="008F59E9"/>
    <w:rsid w:val="008F62E9"/>
    <w:rsid w:val="008F774F"/>
    <w:rsid w:val="009137C6"/>
    <w:rsid w:val="00920314"/>
    <w:rsid w:val="009432B5"/>
    <w:rsid w:val="00947ACB"/>
    <w:rsid w:val="0095334B"/>
    <w:rsid w:val="0095676C"/>
    <w:rsid w:val="00962EBD"/>
    <w:rsid w:val="00967FCF"/>
    <w:rsid w:val="009706D3"/>
    <w:rsid w:val="00970D81"/>
    <w:rsid w:val="00973CF2"/>
    <w:rsid w:val="00977C38"/>
    <w:rsid w:val="0098362A"/>
    <w:rsid w:val="009836CF"/>
    <w:rsid w:val="00987D20"/>
    <w:rsid w:val="00991AEC"/>
    <w:rsid w:val="00994FB1"/>
    <w:rsid w:val="009A3152"/>
    <w:rsid w:val="009A4969"/>
    <w:rsid w:val="009B2222"/>
    <w:rsid w:val="009B341F"/>
    <w:rsid w:val="009B3CCA"/>
    <w:rsid w:val="009B5C86"/>
    <w:rsid w:val="009B6FEB"/>
    <w:rsid w:val="009C19D5"/>
    <w:rsid w:val="009C3B32"/>
    <w:rsid w:val="009C6217"/>
    <w:rsid w:val="009C7399"/>
    <w:rsid w:val="009C7B75"/>
    <w:rsid w:val="009D0B56"/>
    <w:rsid w:val="009D29C6"/>
    <w:rsid w:val="009E33F0"/>
    <w:rsid w:val="009F04D0"/>
    <w:rsid w:val="009F0733"/>
    <w:rsid w:val="009F5074"/>
    <w:rsid w:val="009F66E5"/>
    <w:rsid w:val="009F6921"/>
    <w:rsid w:val="00A15B28"/>
    <w:rsid w:val="00A16F1F"/>
    <w:rsid w:val="00A235C9"/>
    <w:rsid w:val="00A26734"/>
    <w:rsid w:val="00A327DF"/>
    <w:rsid w:val="00A335A3"/>
    <w:rsid w:val="00A338C2"/>
    <w:rsid w:val="00A35600"/>
    <w:rsid w:val="00A3741C"/>
    <w:rsid w:val="00A433FE"/>
    <w:rsid w:val="00A44BE5"/>
    <w:rsid w:val="00A468F4"/>
    <w:rsid w:val="00A4704A"/>
    <w:rsid w:val="00A509F2"/>
    <w:rsid w:val="00A60975"/>
    <w:rsid w:val="00A643F6"/>
    <w:rsid w:val="00A74CAB"/>
    <w:rsid w:val="00A866D5"/>
    <w:rsid w:val="00A872ED"/>
    <w:rsid w:val="00A92081"/>
    <w:rsid w:val="00AA5858"/>
    <w:rsid w:val="00AB2B7D"/>
    <w:rsid w:val="00AB5117"/>
    <w:rsid w:val="00AC219F"/>
    <w:rsid w:val="00AC46ED"/>
    <w:rsid w:val="00AC7A57"/>
    <w:rsid w:val="00AD331E"/>
    <w:rsid w:val="00AD7BB3"/>
    <w:rsid w:val="00AE1A6E"/>
    <w:rsid w:val="00AF1C32"/>
    <w:rsid w:val="00AF2695"/>
    <w:rsid w:val="00AF4E9F"/>
    <w:rsid w:val="00AF5AB9"/>
    <w:rsid w:val="00AF7F7B"/>
    <w:rsid w:val="00B062C7"/>
    <w:rsid w:val="00B172D4"/>
    <w:rsid w:val="00B17E2E"/>
    <w:rsid w:val="00B24B43"/>
    <w:rsid w:val="00B266B0"/>
    <w:rsid w:val="00B30A48"/>
    <w:rsid w:val="00B36F98"/>
    <w:rsid w:val="00B4097F"/>
    <w:rsid w:val="00B41908"/>
    <w:rsid w:val="00B42BB8"/>
    <w:rsid w:val="00B43D36"/>
    <w:rsid w:val="00B4792E"/>
    <w:rsid w:val="00B50D34"/>
    <w:rsid w:val="00B53414"/>
    <w:rsid w:val="00B557B0"/>
    <w:rsid w:val="00B65D8F"/>
    <w:rsid w:val="00B777F9"/>
    <w:rsid w:val="00B91312"/>
    <w:rsid w:val="00B91C06"/>
    <w:rsid w:val="00B93903"/>
    <w:rsid w:val="00BA0697"/>
    <w:rsid w:val="00BA5CA8"/>
    <w:rsid w:val="00BB2642"/>
    <w:rsid w:val="00BC3F7F"/>
    <w:rsid w:val="00BC4928"/>
    <w:rsid w:val="00BF2498"/>
    <w:rsid w:val="00BF3B9D"/>
    <w:rsid w:val="00BF4E89"/>
    <w:rsid w:val="00C07175"/>
    <w:rsid w:val="00C135D5"/>
    <w:rsid w:val="00C13640"/>
    <w:rsid w:val="00C13DF4"/>
    <w:rsid w:val="00C15DBB"/>
    <w:rsid w:val="00C24953"/>
    <w:rsid w:val="00C27D36"/>
    <w:rsid w:val="00C30706"/>
    <w:rsid w:val="00C31F0D"/>
    <w:rsid w:val="00C330BD"/>
    <w:rsid w:val="00C332A5"/>
    <w:rsid w:val="00C33D99"/>
    <w:rsid w:val="00C4327A"/>
    <w:rsid w:val="00C60922"/>
    <w:rsid w:val="00C72BDD"/>
    <w:rsid w:val="00C817B8"/>
    <w:rsid w:val="00C9075A"/>
    <w:rsid w:val="00C907D9"/>
    <w:rsid w:val="00C940D5"/>
    <w:rsid w:val="00CB0E4C"/>
    <w:rsid w:val="00CB2ED8"/>
    <w:rsid w:val="00CB56B2"/>
    <w:rsid w:val="00CC0AE5"/>
    <w:rsid w:val="00CC1E5A"/>
    <w:rsid w:val="00CE01A9"/>
    <w:rsid w:val="00CE5A41"/>
    <w:rsid w:val="00D00753"/>
    <w:rsid w:val="00D00F6B"/>
    <w:rsid w:val="00D05D12"/>
    <w:rsid w:val="00D11ED3"/>
    <w:rsid w:val="00D148C7"/>
    <w:rsid w:val="00D16D50"/>
    <w:rsid w:val="00D22819"/>
    <w:rsid w:val="00D24C5E"/>
    <w:rsid w:val="00D253E6"/>
    <w:rsid w:val="00D33894"/>
    <w:rsid w:val="00D41C73"/>
    <w:rsid w:val="00D4766C"/>
    <w:rsid w:val="00D476F1"/>
    <w:rsid w:val="00D50B9A"/>
    <w:rsid w:val="00D50D6B"/>
    <w:rsid w:val="00D51363"/>
    <w:rsid w:val="00D5480A"/>
    <w:rsid w:val="00D5617B"/>
    <w:rsid w:val="00D56580"/>
    <w:rsid w:val="00D62872"/>
    <w:rsid w:val="00D65877"/>
    <w:rsid w:val="00D65C7C"/>
    <w:rsid w:val="00D67365"/>
    <w:rsid w:val="00D80D41"/>
    <w:rsid w:val="00D940CB"/>
    <w:rsid w:val="00D94BC4"/>
    <w:rsid w:val="00DB3BAD"/>
    <w:rsid w:val="00DB5174"/>
    <w:rsid w:val="00DC43FE"/>
    <w:rsid w:val="00DC53C0"/>
    <w:rsid w:val="00DD409A"/>
    <w:rsid w:val="00DE4974"/>
    <w:rsid w:val="00DF1EC7"/>
    <w:rsid w:val="00DF6DC7"/>
    <w:rsid w:val="00E01823"/>
    <w:rsid w:val="00E14D9D"/>
    <w:rsid w:val="00E216C1"/>
    <w:rsid w:val="00E22072"/>
    <w:rsid w:val="00E273B8"/>
    <w:rsid w:val="00E34E17"/>
    <w:rsid w:val="00E3541A"/>
    <w:rsid w:val="00E35F52"/>
    <w:rsid w:val="00E42E7B"/>
    <w:rsid w:val="00E42FCE"/>
    <w:rsid w:val="00E46DD1"/>
    <w:rsid w:val="00E47AE4"/>
    <w:rsid w:val="00E55913"/>
    <w:rsid w:val="00E578E1"/>
    <w:rsid w:val="00E60549"/>
    <w:rsid w:val="00E736BD"/>
    <w:rsid w:val="00E748EA"/>
    <w:rsid w:val="00E75A18"/>
    <w:rsid w:val="00E81C16"/>
    <w:rsid w:val="00E82CB2"/>
    <w:rsid w:val="00E8636B"/>
    <w:rsid w:val="00E95143"/>
    <w:rsid w:val="00E9799A"/>
    <w:rsid w:val="00E97D9D"/>
    <w:rsid w:val="00EA4DE6"/>
    <w:rsid w:val="00EA4F05"/>
    <w:rsid w:val="00EB693E"/>
    <w:rsid w:val="00EC3A01"/>
    <w:rsid w:val="00EE072F"/>
    <w:rsid w:val="00EE79D6"/>
    <w:rsid w:val="00EF5D91"/>
    <w:rsid w:val="00EF71FE"/>
    <w:rsid w:val="00F00575"/>
    <w:rsid w:val="00F0070A"/>
    <w:rsid w:val="00F06C29"/>
    <w:rsid w:val="00F214E7"/>
    <w:rsid w:val="00F27E4F"/>
    <w:rsid w:val="00F303C0"/>
    <w:rsid w:val="00F3635E"/>
    <w:rsid w:val="00F37F48"/>
    <w:rsid w:val="00F40C3E"/>
    <w:rsid w:val="00F42B00"/>
    <w:rsid w:val="00F436FA"/>
    <w:rsid w:val="00F5074E"/>
    <w:rsid w:val="00F5116D"/>
    <w:rsid w:val="00F520A4"/>
    <w:rsid w:val="00F55C3F"/>
    <w:rsid w:val="00F55D7B"/>
    <w:rsid w:val="00F56694"/>
    <w:rsid w:val="00F573F1"/>
    <w:rsid w:val="00F60BA8"/>
    <w:rsid w:val="00F66E45"/>
    <w:rsid w:val="00F715B5"/>
    <w:rsid w:val="00F8425E"/>
    <w:rsid w:val="00F94D93"/>
    <w:rsid w:val="00F94DDC"/>
    <w:rsid w:val="00F9698A"/>
    <w:rsid w:val="00FA431E"/>
    <w:rsid w:val="00FA7344"/>
    <w:rsid w:val="00FB1BD4"/>
    <w:rsid w:val="00FB309B"/>
    <w:rsid w:val="00FC00B5"/>
    <w:rsid w:val="00FC4787"/>
    <w:rsid w:val="00FC5AA1"/>
    <w:rsid w:val="00FC73F9"/>
    <w:rsid w:val="00FD5E00"/>
    <w:rsid w:val="00FE0B75"/>
    <w:rsid w:val="00FE54E3"/>
    <w:rsid w:val="00FF2D57"/>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en-GB"/>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en-GB"/>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ebank.org/Upload/legal/en/procurement_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domanovic@pi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9AFA-02A8-451C-A896-5CDF7161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7</cp:revision>
  <dcterms:created xsi:type="dcterms:W3CDTF">2016-10-11T11:08:00Z</dcterms:created>
  <dcterms:modified xsi:type="dcterms:W3CDTF">2016-11-22T10:26:00Z</dcterms:modified>
</cp:coreProperties>
</file>