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ED" w:rsidRPr="00883B78" w:rsidRDefault="000F0BED" w:rsidP="0085470A">
      <w:pPr>
        <w:tabs>
          <w:tab w:val="left" w:pos="7096"/>
        </w:tabs>
        <w:rPr>
          <w:sz w:val="22"/>
          <w:szCs w:val="22"/>
          <w:lang w:val="sr-Latn-CS"/>
        </w:rPr>
      </w:pPr>
    </w:p>
    <w:p w:rsidR="00E36D23" w:rsidRPr="00883B78" w:rsidRDefault="00E36D23" w:rsidP="0085470A">
      <w:pPr>
        <w:tabs>
          <w:tab w:val="left" w:pos="7096"/>
        </w:tabs>
        <w:rPr>
          <w:sz w:val="22"/>
          <w:szCs w:val="22"/>
          <w:lang w:val="sr-Latn-CS"/>
        </w:rPr>
      </w:pPr>
    </w:p>
    <w:p w:rsidR="003B6E76" w:rsidRDefault="003B6E76" w:rsidP="00576B2B">
      <w:pPr>
        <w:ind w:firstLine="720"/>
        <w:rPr>
          <w:sz w:val="22"/>
          <w:szCs w:val="22"/>
          <w:lang w:val="sr-Latn-CS"/>
        </w:rPr>
      </w:pPr>
    </w:p>
    <w:p w:rsidR="00C030D4" w:rsidRPr="00F83B73" w:rsidRDefault="00C030D4" w:rsidP="00576B2B">
      <w:pPr>
        <w:ind w:firstLine="720"/>
        <w:rPr>
          <w:sz w:val="22"/>
          <w:szCs w:val="22"/>
          <w:lang w:val="sr-Cyrl-CS"/>
        </w:rPr>
      </w:pPr>
      <w:r w:rsidRPr="00F83B73">
        <w:rPr>
          <w:sz w:val="22"/>
          <w:szCs w:val="22"/>
          <w:lang w:val="sr-Latn-CS"/>
        </w:rPr>
        <w:t>Poštovani</w:t>
      </w:r>
      <w:r w:rsidRPr="00F83B73">
        <w:rPr>
          <w:sz w:val="22"/>
          <w:szCs w:val="22"/>
          <w:lang w:val="sr-Cyrl-CS"/>
        </w:rPr>
        <w:t>,</w:t>
      </w:r>
    </w:p>
    <w:p w:rsidR="00C030D4" w:rsidRPr="00F83B73" w:rsidRDefault="00C030D4" w:rsidP="00C030D4">
      <w:pPr>
        <w:rPr>
          <w:sz w:val="22"/>
          <w:szCs w:val="22"/>
        </w:rPr>
      </w:pPr>
    </w:p>
    <w:p w:rsidR="00CA14E7" w:rsidRPr="00F83B73" w:rsidRDefault="00CA14E7" w:rsidP="004314EF">
      <w:pPr>
        <w:tabs>
          <w:tab w:val="left" w:pos="1515"/>
        </w:tabs>
        <w:jc w:val="both"/>
        <w:rPr>
          <w:sz w:val="22"/>
          <w:szCs w:val="22"/>
          <w:lang w:val="sr-Latn-CS"/>
        </w:rPr>
      </w:pPr>
    </w:p>
    <w:p w:rsidR="00C030D4" w:rsidRPr="00F83B73" w:rsidRDefault="00C030D4" w:rsidP="004314EF">
      <w:pPr>
        <w:tabs>
          <w:tab w:val="left" w:pos="1515"/>
        </w:tabs>
        <w:jc w:val="both"/>
        <w:rPr>
          <w:sz w:val="22"/>
          <w:szCs w:val="22"/>
          <w:lang w:val="sr-Latn-CS"/>
        </w:rPr>
      </w:pPr>
      <w:r w:rsidRPr="00F83B73">
        <w:rPr>
          <w:sz w:val="22"/>
          <w:szCs w:val="22"/>
          <w:lang w:val="sr-Latn-CS"/>
        </w:rPr>
        <w:t>Povodom pitanja</w:t>
      </w:r>
      <w:r w:rsidR="00C16706" w:rsidRPr="00F83B73">
        <w:rPr>
          <w:sz w:val="22"/>
          <w:szCs w:val="22"/>
          <w:lang w:val="sr-Latn-CS"/>
        </w:rPr>
        <w:t xml:space="preserve"> upućenih</w:t>
      </w:r>
      <w:r w:rsidR="000A01D8" w:rsidRPr="00F83B73">
        <w:rPr>
          <w:sz w:val="22"/>
          <w:szCs w:val="22"/>
          <w:lang w:val="sr-Latn-CS"/>
        </w:rPr>
        <w:t xml:space="preserve"> Naručiocu</w:t>
      </w:r>
      <w:r w:rsidR="004314EF" w:rsidRPr="00F83B73">
        <w:rPr>
          <w:sz w:val="22"/>
          <w:szCs w:val="22"/>
          <w:lang w:val="sr-Latn-CS"/>
        </w:rPr>
        <w:t xml:space="preserve"> </w:t>
      </w:r>
      <w:r w:rsidR="002935EE" w:rsidRPr="00F83B73">
        <w:rPr>
          <w:sz w:val="22"/>
          <w:szCs w:val="22"/>
          <w:lang w:val="sr-Latn-CS"/>
        </w:rPr>
        <w:t xml:space="preserve">od strane potencijalnih ponuđača do </w:t>
      </w:r>
      <w:r w:rsidR="001D3059" w:rsidRPr="00F83B73">
        <w:rPr>
          <w:sz w:val="22"/>
          <w:szCs w:val="22"/>
          <w:lang w:val="sr-Latn-CS"/>
        </w:rPr>
        <w:t xml:space="preserve">dana </w:t>
      </w:r>
      <w:r w:rsidR="00FC2BFC">
        <w:rPr>
          <w:sz w:val="22"/>
          <w:szCs w:val="22"/>
          <w:lang w:val="sr-Latn-CS"/>
        </w:rPr>
        <w:t>1. januara 2012</w:t>
      </w:r>
      <w:r w:rsidRPr="00F83B73">
        <w:rPr>
          <w:sz w:val="22"/>
          <w:szCs w:val="22"/>
          <w:lang w:val="sr-Latn-CS"/>
        </w:rPr>
        <w:t>. godine</w:t>
      </w:r>
      <w:r w:rsidR="002935EE" w:rsidRPr="00F83B73">
        <w:rPr>
          <w:sz w:val="22"/>
          <w:szCs w:val="22"/>
          <w:lang w:val="sr-Latn-CS"/>
        </w:rPr>
        <w:t>,</w:t>
      </w:r>
      <w:r w:rsidRPr="00F83B73">
        <w:rPr>
          <w:sz w:val="22"/>
          <w:szCs w:val="22"/>
          <w:lang w:val="sr-Latn-CS"/>
        </w:rPr>
        <w:t xml:space="preserve"> </w:t>
      </w:r>
      <w:r w:rsidR="000A01D8" w:rsidRPr="00F83B73">
        <w:rPr>
          <w:sz w:val="22"/>
          <w:szCs w:val="22"/>
          <w:lang w:val="sr-Latn-CS"/>
        </w:rPr>
        <w:t xml:space="preserve">a </w:t>
      </w:r>
      <w:r w:rsidRPr="00F83B73">
        <w:rPr>
          <w:sz w:val="22"/>
          <w:szCs w:val="22"/>
          <w:lang w:val="sr-Latn-CS"/>
        </w:rPr>
        <w:t xml:space="preserve">u vezi </w:t>
      </w:r>
      <w:r w:rsidR="004314EF" w:rsidRPr="00F83B73">
        <w:rPr>
          <w:sz w:val="22"/>
          <w:szCs w:val="22"/>
          <w:lang w:val="sr-Latn-CS"/>
        </w:rPr>
        <w:t>sa javnom nabavkom</w:t>
      </w:r>
      <w:r w:rsidRPr="00F83B73">
        <w:rPr>
          <w:sz w:val="22"/>
          <w:szCs w:val="22"/>
          <w:lang w:val="sr-Latn-CS"/>
        </w:rPr>
        <w:t xml:space="preserve">: </w:t>
      </w:r>
      <w:r w:rsidR="004314EF" w:rsidRPr="00F83B73">
        <w:rPr>
          <w:sz w:val="22"/>
          <w:szCs w:val="22"/>
        </w:rPr>
        <w:t>Nabavka potrošnog materijala za potrebe naučnoistraživačkih organizacija Tender broj 1</w:t>
      </w:r>
      <w:r w:rsidRPr="00F83B73">
        <w:rPr>
          <w:b/>
          <w:sz w:val="22"/>
          <w:szCs w:val="22"/>
          <w:lang w:val="sr-Latn-CS"/>
        </w:rPr>
        <w:t>,</w:t>
      </w:r>
      <w:r w:rsidR="004314EF" w:rsidRPr="00F83B73">
        <w:rPr>
          <w:rStyle w:val="HeaderChar"/>
          <w:b/>
          <w:sz w:val="22"/>
          <w:szCs w:val="22"/>
        </w:rPr>
        <w:t xml:space="preserve"> </w:t>
      </w:r>
      <w:r w:rsidR="004314EF" w:rsidRPr="00F83B73">
        <w:rPr>
          <w:rStyle w:val="HeaderChar"/>
          <w:sz w:val="22"/>
          <w:szCs w:val="22"/>
        </w:rPr>
        <w:t xml:space="preserve">broj </w:t>
      </w:r>
      <w:r w:rsidR="00C16706" w:rsidRPr="00F83B73">
        <w:rPr>
          <w:rStyle w:val="HeaderChar"/>
          <w:sz w:val="22"/>
          <w:szCs w:val="22"/>
        </w:rPr>
        <w:t xml:space="preserve">nabavke: </w:t>
      </w:r>
      <w:r w:rsidR="004314EF" w:rsidRPr="00F83B73">
        <w:rPr>
          <w:rStyle w:val="Strong"/>
          <w:b w:val="0"/>
          <w:sz w:val="22"/>
          <w:szCs w:val="22"/>
          <w:lang w:val="sr-Cyrl-CS"/>
        </w:rPr>
        <w:t>IOP/4-2011/C/</w:t>
      </w:r>
      <w:r w:rsidR="00E120D7" w:rsidRPr="00F83B73">
        <w:rPr>
          <w:rStyle w:val="Strong"/>
          <w:b w:val="0"/>
          <w:sz w:val="22"/>
          <w:szCs w:val="22"/>
          <w:lang w:val="sr-Latn-CS"/>
        </w:rPr>
        <w:t>TENDER</w:t>
      </w:r>
      <w:r w:rsidR="004314EF" w:rsidRPr="00F83B73">
        <w:rPr>
          <w:rStyle w:val="Strong"/>
          <w:b w:val="0"/>
          <w:sz w:val="22"/>
          <w:szCs w:val="22"/>
          <w:lang w:val="sr-Latn-CS"/>
        </w:rPr>
        <w:t xml:space="preserve"> </w:t>
      </w:r>
      <w:r w:rsidR="00E120D7" w:rsidRPr="00F83B73">
        <w:rPr>
          <w:rStyle w:val="Strong"/>
          <w:b w:val="0"/>
          <w:sz w:val="22"/>
          <w:szCs w:val="22"/>
          <w:lang w:val="sr-Latn-CS"/>
        </w:rPr>
        <w:t>BROJ</w:t>
      </w:r>
      <w:r w:rsidR="004314EF" w:rsidRPr="00F83B73">
        <w:rPr>
          <w:rStyle w:val="Strong"/>
          <w:b w:val="0"/>
          <w:sz w:val="22"/>
          <w:szCs w:val="22"/>
          <w:lang w:val="sr-Latn-CS"/>
        </w:rPr>
        <w:t xml:space="preserve"> 1</w:t>
      </w:r>
      <w:r w:rsidR="004314EF" w:rsidRPr="00F83B73">
        <w:rPr>
          <w:rStyle w:val="Strong"/>
          <w:b w:val="0"/>
          <w:sz w:val="22"/>
          <w:szCs w:val="22"/>
        </w:rPr>
        <w:t>,</w:t>
      </w:r>
      <w:r w:rsidR="004314EF" w:rsidRPr="00F83B73">
        <w:rPr>
          <w:rStyle w:val="Strong"/>
          <w:sz w:val="22"/>
          <w:szCs w:val="22"/>
        </w:rPr>
        <w:t xml:space="preserve"> </w:t>
      </w:r>
      <w:r w:rsidR="000A01D8" w:rsidRPr="00F83B73">
        <w:rPr>
          <w:sz w:val="22"/>
          <w:szCs w:val="22"/>
          <w:lang w:val="sr-Latn-CS"/>
        </w:rPr>
        <w:t>dostavljamo</w:t>
      </w:r>
      <w:r w:rsidRPr="00F83B73">
        <w:rPr>
          <w:sz w:val="22"/>
          <w:szCs w:val="22"/>
          <w:lang w:val="sr-Latn-CS"/>
        </w:rPr>
        <w:t xml:space="preserve"> sledeće odgovore:</w:t>
      </w:r>
    </w:p>
    <w:p w:rsidR="00883B78" w:rsidRPr="00F83B73" w:rsidRDefault="00883B78" w:rsidP="004314EF">
      <w:pPr>
        <w:tabs>
          <w:tab w:val="left" w:pos="1515"/>
        </w:tabs>
        <w:jc w:val="both"/>
        <w:rPr>
          <w:b/>
          <w:bCs/>
          <w:sz w:val="22"/>
          <w:szCs w:val="22"/>
        </w:rPr>
      </w:pPr>
    </w:p>
    <w:p w:rsidR="00C030D4" w:rsidRPr="00F83B73" w:rsidRDefault="00C030D4" w:rsidP="004314EF">
      <w:pPr>
        <w:ind w:firstLine="720"/>
        <w:jc w:val="both"/>
        <w:rPr>
          <w:sz w:val="22"/>
          <w:szCs w:val="22"/>
          <w:lang w:val="sr-Latn-CS"/>
        </w:rPr>
      </w:pPr>
    </w:p>
    <w:p w:rsidR="00872976" w:rsidRPr="00F83B73" w:rsidRDefault="00872976" w:rsidP="00872976">
      <w:pPr>
        <w:ind w:firstLine="720"/>
        <w:jc w:val="both"/>
        <w:rPr>
          <w:b/>
          <w:sz w:val="22"/>
          <w:szCs w:val="22"/>
          <w:lang w:val="sr-Latn-CS"/>
        </w:rPr>
      </w:pPr>
      <w:r w:rsidRPr="00F83B73">
        <w:rPr>
          <w:b/>
          <w:sz w:val="22"/>
          <w:szCs w:val="22"/>
          <w:lang w:val="sr-Latn-CS"/>
        </w:rPr>
        <w:t xml:space="preserve">Pitanje </w:t>
      </w:r>
      <w:r w:rsidR="00FC2BFC">
        <w:rPr>
          <w:b/>
          <w:sz w:val="22"/>
          <w:szCs w:val="22"/>
          <w:lang w:val="sr-Latn-CS"/>
        </w:rPr>
        <w:t>74</w:t>
      </w:r>
      <w:r w:rsidR="00C030D4" w:rsidRPr="00F83B73">
        <w:rPr>
          <w:b/>
          <w:sz w:val="22"/>
          <w:szCs w:val="22"/>
          <w:lang w:val="sr-Latn-CS"/>
        </w:rPr>
        <w:t>:</w:t>
      </w:r>
    </w:p>
    <w:p w:rsidR="00872976" w:rsidRPr="00F83B73" w:rsidRDefault="00872976" w:rsidP="00C030D4">
      <w:pPr>
        <w:ind w:firstLine="720"/>
        <w:jc w:val="both"/>
        <w:rPr>
          <w:sz w:val="22"/>
          <w:szCs w:val="22"/>
        </w:rPr>
      </w:pPr>
    </w:p>
    <w:p w:rsidR="00753551" w:rsidRDefault="00FC2BFC" w:rsidP="00C030D4">
      <w:pPr>
        <w:ind w:firstLine="720"/>
        <w:jc w:val="both"/>
        <w:rPr>
          <w:rFonts w:ascii="Apple Braille" w:hAnsi="Apple Braille"/>
          <w:sz w:val="22"/>
          <w:szCs w:val="22"/>
        </w:rPr>
      </w:pPr>
      <w:r>
        <w:rPr>
          <w:rFonts w:ascii="Apple Braille" w:hAnsi="Apple Braille"/>
          <w:sz w:val="22"/>
          <w:szCs w:val="22"/>
        </w:rPr>
        <w:t xml:space="preserve">Na str. 36, u odeljku koji se odnosi na dokazivanje poslovne sposobnosti zahteva se da ponuđač raspolaže registrovanim skladištem na teritoriji Republike Srbije. Naša firma se bavi prodajom laboratorijske opreme (isključivo instrumenata, ne hemikalija niti gasova) </w:t>
      </w:r>
      <w:r w:rsidR="001B4014">
        <w:rPr>
          <w:rFonts w:ascii="Apple Braille" w:hAnsi="Apple Braille"/>
          <w:sz w:val="22"/>
          <w:szCs w:val="22"/>
        </w:rPr>
        <w:t>i</w:t>
      </w:r>
      <w:r>
        <w:rPr>
          <w:rFonts w:ascii="Apple Braille" w:hAnsi="Apple Braille"/>
          <w:sz w:val="22"/>
          <w:szCs w:val="22"/>
        </w:rPr>
        <w:t xml:space="preserve"> nismo u obavezi da posedujemo registrovano skladište jer se ne bavimo prometom opasnih materija. Shodno tome, molimo vas da nam objasnite da li se naš poslovni </w:t>
      </w:r>
      <w:r w:rsidR="001B4014">
        <w:rPr>
          <w:rFonts w:ascii="Apple Braille" w:hAnsi="Apple Braille" w:hint="eastAsia"/>
          <w:sz w:val="22"/>
          <w:szCs w:val="22"/>
        </w:rPr>
        <w:t>pro</w:t>
      </w:r>
      <w:r w:rsidR="001B4014">
        <w:rPr>
          <w:rFonts w:ascii="Apple Braille" w:hAnsi="Apple Braille"/>
          <w:sz w:val="22"/>
          <w:szCs w:val="22"/>
        </w:rPr>
        <w:t>s</w:t>
      </w:r>
      <w:r>
        <w:rPr>
          <w:rFonts w:ascii="Apple Braille" w:hAnsi="Apple Braille" w:hint="eastAsia"/>
          <w:sz w:val="22"/>
          <w:szCs w:val="22"/>
        </w:rPr>
        <w:t>tor</w:t>
      </w:r>
      <w:r>
        <w:rPr>
          <w:rFonts w:ascii="Apple Braille" w:hAnsi="Apple Braille"/>
          <w:sz w:val="22"/>
          <w:szCs w:val="22"/>
        </w:rPr>
        <w:t xml:space="preserve">, koji koristimo kao sedište firme </w:t>
      </w:r>
      <w:r w:rsidR="001B4014">
        <w:rPr>
          <w:rFonts w:ascii="Apple Braille" w:hAnsi="Apple Braille"/>
          <w:sz w:val="22"/>
          <w:szCs w:val="22"/>
        </w:rPr>
        <w:t>i</w:t>
      </w:r>
      <w:r>
        <w:rPr>
          <w:rFonts w:ascii="Apple Braille" w:hAnsi="Apple Braille"/>
          <w:sz w:val="22"/>
          <w:szCs w:val="22"/>
        </w:rPr>
        <w:t xml:space="preserve"> magacin, može smatrati registrovanim skladištem za opremu koju nudimo na ovom </w:t>
      </w:r>
      <w:r>
        <w:rPr>
          <w:rFonts w:ascii="Apple Braille" w:hAnsi="Apple Braille" w:hint="eastAsia"/>
          <w:sz w:val="22"/>
          <w:szCs w:val="22"/>
        </w:rPr>
        <w:t>tender</w:t>
      </w:r>
      <w:r>
        <w:rPr>
          <w:rFonts w:ascii="Apple Braille" w:hAnsi="Apple Braille"/>
          <w:sz w:val="22"/>
          <w:szCs w:val="22"/>
        </w:rPr>
        <w:t xml:space="preserve">, preciznije za lotove: 084 </w:t>
      </w:r>
      <w:r w:rsidR="001B4014">
        <w:rPr>
          <w:rFonts w:ascii="Apple Braille" w:hAnsi="Apple Braille"/>
          <w:sz w:val="22"/>
          <w:szCs w:val="22"/>
        </w:rPr>
        <w:t>i</w:t>
      </w:r>
      <w:r>
        <w:rPr>
          <w:rFonts w:ascii="Apple Braille" w:hAnsi="Apple Braille"/>
          <w:sz w:val="22"/>
          <w:szCs w:val="22"/>
        </w:rPr>
        <w:t xml:space="preserve"> 125 a u kojima se nalaze samo </w:t>
      </w:r>
      <w:r w:rsidR="001B4014">
        <w:rPr>
          <w:rFonts w:ascii="Apple Braille" w:hAnsi="Apple Braille"/>
          <w:sz w:val="22"/>
          <w:szCs w:val="22"/>
        </w:rPr>
        <w:t>i</w:t>
      </w:r>
      <w:r>
        <w:rPr>
          <w:rFonts w:ascii="Apple Braille" w:hAnsi="Apple Braille"/>
          <w:sz w:val="22"/>
          <w:szCs w:val="22"/>
        </w:rPr>
        <w:t xml:space="preserve"> isključivo instrumenti </w:t>
      </w:r>
      <w:r w:rsidR="001B4014">
        <w:rPr>
          <w:rFonts w:ascii="Apple Braille" w:hAnsi="Apple Braille"/>
          <w:sz w:val="22"/>
          <w:szCs w:val="22"/>
        </w:rPr>
        <w:t>i</w:t>
      </w:r>
      <w:r>
        <w:rPr>
          <w:rFonts w:ascii="Apple Braille" w:hAnsi="Apple Braille"/>
          <w:sz w:val="22"/>
          <w:szCs w:val="22"/>
        </w:rPr>
        <w:t xml:space="preserve"> njihovi rezervni delovi?</w:t>
      </w:r>
    </w:p>
    <w:p w:rsidR="00164A30" w:rsidRPr="00F83B73" w:rsidRDefault="00164A30" w:rsidP="00C030D4">
      <w:pPr>
        <w:ind w:firstLine="720"/>
        <w:jc w:val="both"/>
        <w:rPr>
          <w:sz w:val="22"/>
          <w:szCs w:val="22"/>
        </w:rPr>
      </w:pPr>
    </w:p>
    <w:p w:rsidR="00753551" w:rsidRPr="00F83B73" w:rsidRDefault="00753551" w:rsidP="00C030D4">
      <w:pPr>
        <w:ind w:firstLine="720"/>
        <w:jc w:val="both"/>
        <w:rPr>
          <w:sz w:val="22"/>
          <w:szCs w:val="22"/>
          <w:lang w:val="sr-Latn-CS"/>
        </w:rPr>
      </w:pPr>
    </w:p>
    <w:p w:rsidR="0093686B" w:rsidRPr="00F83B73" w:rsidRDefault="00FC2BFC" w:rsidP="00872976">
      <w:pPr>
        <w:ind w:firstLine="720"/>
        <w:jc w:val="both"/>
        <w:rPr>
          <w:b/>
          <w:sz w:val="22"/>
          <w:szCs w:val="22"/>
          <w:lang w:val="sr-Latn-CS"/>
        </w:rPr>
      </w:pPr>
      <w:r>
        <w:rPr>
          <w:b/>
          <w:sz w:val="22"/>
          <w:szCs w:val="22"/>
          <w:lang w:val="sr-Latn-CS"/>
        </w:rPr>
        <w:t>Odgovor 74</w:t>
      </w:r>
      <w:r w:rsidR="00872976" w:rsidRPr="00F83B73">
        <w:rPr>
          <w:b/>
          <w:sz w:val="22"/>
          <w:szCs w:val="22"/>
          <w:lang w:val="sr-Latn-CS"/>
        </w:rPr>
        <w:t>:</w:t>
      </w:r>
    </w:p>
    <w:p w:rsidR="00875F86" w:rsidRPr="00F83B73" w:rsidRDefault="00875F86" w:rsidP="00875F86">
      <w:pPr>
        <w:jc w:val="both"/>
        <w:rPr>
          <w:b/>
          <w:sz w:val="22"/>
          <w:szCs w:val="22"/>
          <w:lang w:val="sr-Latn-CS"/>
        </w:rPr>
      </w:pPr>
    </w:p>
    <w:p w:rsidR="008962A6" w:rsidRPr="00F83B73" w:rsidRDefault="001B4014" w:rsidP="001E6571">
      <w:pPr>
        <w:ind w:firstLine="720"/>
        <w:jc w:val="both"/>
        <w:rPr>
          <w:rFonts w:ascii="Apple Braille" w:hAnsi="Apple Braille"/>
          <w:sz w:val="22"/>
          <w:szCs w:val="22"/>
        </w:rPr>
      </w:pPr>
      <w:r>
        <w:rPr>
          <w:sz w:val="22"/>
          <w:szCs w:val="22"/>
          <w:lang w:val="sr-Latn-CS"/>
        </w:rPr>
        <w:t>Može, ukoliko je to u skladu sa važećim zakonskim propisima</w:t>
      </w:r>
      <w:r w:rsidR="00D723FC" w:rsidRPr="00F83B73">
        <w:rPr>
          <w:rFonts w:ascii="Apple Braille" w:hAnsi="Apple Braille"/>
          <w:sz w:val="22"/>
          <w:szCs w:val="22"/>
        </w:rPr>
        <w:t>.</w:t>
      </w:r>
    </w:p>
    <w:p w:rsidR="008962A6" w:rsidRPr="00F83B73" w:rsidRDefault="008962A6" w:rsidP="008962A6">
      <w:pPr>
        <w:rPr>
          <w:sz w:val="22"/>
          <w:szCs w:val="22"/>
          <w:lang w:val="sr-Latn-CS"/>
        </w:rPr>
      </w:pPr>
    </w:p>
    <w:p w:rsidR="008962A6" w:rsidRPr="00F83B73" w:rsidRDefault="008962A6" w:rsidP="008962A6">
      <w:pPr>
        <w:rPr>
          <w:sz w:val="22"/>
          <w:szCs w:val="22"/>
          <w:lang w:val="sr-Latn-CS"/>
        </w:rPr>
      </w:pPr>
    </w:p>
    <w:p w:rsidR="001B4014" w:rsidRPr="00F83B73" w:rsidRDefault="001B4014" w:rsidP="001B4014">
      <w:pPr>
        <w:ind w:firstLine="720"/>
        <w:jc w:val="both"/>
        <w:rPr>
          <w:b/>
          <w:sz w:val="22"/>
          <w:szCs w:val="22"/>
          <w:lang w:val="sr-Latn-CS"/>
        </w:rPr>
      </w:pPr>
      <w:r w:rsidRPr="00F83B73">
        <w:rPr>
          <w:b/>
          <w:sz w:val="22"/>
          <w:szCs w:val="22"/>
          <w:lang w:val="sr-Latn-CS"/>
        </w:rPr>
        <w:t xml:space="preserve">Pitanje </w:t>
      </w:r>
      <w:r>
        <w:rPr>
          <w:b/>
          <w:sz w:val="22"/>
          <w:szCs w:val="22"/>
          <w:lang w:val="sr-Latn-CS"/>
        </w:rPr>
        <w:t>75</w:t>
      </w:r>
      <w:r w:rsidRPr="00F83B73">
        <w:rPr>
          <w:b/>
          <w:sz w:val="22"/>
          <w:szCs w:val="22"/>
          <w:lang w:val="sr-Latn-CS"/>
        </w:rPr>
        <w:t>:</w:t>
      </w:r>
    </w:p>
    <w:p w:rsidR="005A1DDE" w:rsidRDefault="005A1DDE" w:rsidP="005166C3">
      <w:pPr>
        <w:ind w:firstLine="720"/>
        <w:rPr>
          <w:lang w:val="sr-Latn-CS"/>
        </w:rPr>
      </w:pPr>
    </w:p>
    <w:p w:rsidR="001B4014" w:rsidRDefault="001B4014" w:rsidP="00164A30">
      <w:pPr>
        <w:ind w:firstLine="720"/>
        <w:jc w:val="both"/>
        <w:rPr>
          <w:sz w:val="22"/>
          <w:szCs w:val="22"/>
          <w:lang w:val="sr-Latn-CS"/>
        </w:rPr>
      </w:pPr>
      <w:r w:rsidRPr="001B4014">
        <w:rPr>
          <w:sz w:val="22"/>
          <w:szCs w:val="22"/>
          <w:lang w:val="sr-Latn-CS"/>
        </w:rPr>
        <w:t>Na str. 15, pod tačkom 17.1 navodi se da ponuđači popunjavaju deklaracije o zemlji porekla u obrascu strukture cena, koji se nalazi u Odeljku IV. Međutim, obrazac u Odeljku IV ne sadrži kolonu Zemlja porekla. Molimo vas da objasnite gde i tačno treba da se unese podatak o zemlji porekla robe.</w:t>
      </w:r>
    </w:p>
    <w:p w:rsidR="00164A30" w:rsidRDefault="00164A30" w:rsidP="005166C3">
      <w:pPr>
        <w:ind w:firstLine="720"/>
        <w:rPr>
          <w:sz w:val="22"/>
          <w:szCs w:val="22"/>
          <w:lang w:val="sr-Latn-CS"/>
        </w:rPr>
      </w:pPr>
    </w:p>
    <w:p w:rsidR="001B4014" w:rsidRDefault="001B4014" w:rsidP="001B4014">
      <w:pPr>
        <w:rPr>
          <w:sz w:val="22"/>
          <w:szCs w:val="22"/>
          <w:lang w:val="sr-Latn-CS"/>
        </w:rPr>
      </w:pPr>
    </w:p>
    <w:p w:rsidR="001B4014" w:rsidRPr="00F83B73" w:rsidRDefault="001B4014" w:rsidP="001B4014">
      <w:pPr>
        <w:ind w:firstLine="720"/>
        <w:jc w:val="both"/>
        <w:rPr>
          <w:b/>
          <w:sz w:val="22"/>
          <w:szCs w:val="22"/>
          <w:lang w:val="sr-Latn-CS"/>
        </w:rPr>
      </w:pPr>
      <w:r>
        <w:rPr>
          <w:b/>
          <w:sz w:val="22"/>
          <w:szCs w:val="22"/>
          <w:lang w:val="sr-Latn-CS"/>
        </w:rPr>
        <w:t>Odgovor 75</w:t>
      </w:r>
      <w:r w:rsidRPr="00F83B73">
        <w:rPr>
          <w:b/>
          <w:sz w:val="22"/>
          <w:szCs w:val="22"/>
          <w:lang w:val="sr-Latn-CS"/>
        </w:rPr>
        <w:t>:</w:t>
      </w:r>
    </w:p>
    <w:p w:rsidR="001B4014" w:rsidRPr="00F83B73" w:rsidRDefault="001B4014" w:rsidP="001B4014">
      <w:pPr>
        <w:jc w:val="both"/>
        <w:rPr>
          <w:b/>
          <w:sz w:val="22"/>
          <w:szCs w:val="22"/>
          <w:lang w:val="sr-Latn-CS"/>
        </w:rPr>
      </w:pPr>
    </w:p>
    <w:p w:rsidR="007B5E9D" w:rsidRDefault="00276AD2" w:rsidP="001B4014">
      <w:pPr>
        <w:ind w:firstLine="720"/>
        <w:rPr>
          <w:sz w:val="22"/>
          <w:szCs w:val="22"/>
          <w:lang w:val="sr-Latn-CS"/>
        </w:rPr>
      </w:pPr>
      <w:r>
        <w:rPr>
          <w:sz w:val="22"/>
          <w:szCs w:val="22"/>
          <w:lang w:val="sr-Latn-CS"/>
        </w:rPr>
        <w:t>Saglasno relevantnim opštim, ali i posebnim</w:t>
      </w:r>
      <w:r w:rsidR="001B4014">
        <w:rPr>
          <w:sz w:val="22"/>
          <w:szCs w:val="22"/>
          <w:lang w:val="sr-Latn-CS"/>
        </w:rPr>
        <w:t xml:space="preserve"> odredbama Tenderske dokumentacije, podatke o</w:t>
      </w:r>
      <w:r w:rsidR="001B4014" w:rsidRPr="001B4014">
        <w:rPr>
          <w:sz w:val="22"/>
          <w:szCs w:val="22"/>
          <w:lang w:val="sr-Latn-CS"/>
        </w:rPr>
        <w:t xml:space="preserve"> zemlji porekla robe</w:t>
      </w:r>
      <w:r w:rsidR="001B4014">
        <w:rPr>
          <w:sz w:val="22"/>
          <w:szCs w:val="22"/>
          <w:lang w:val="sr-Latn-CS"/>
        </w:rPr>
        <w:t xml:space="preserve"> nije potrebno unositi</w:t>
      </w:r>
      <w:r w:rsidR="007B5E9D">
        <w:rPr>
          <w:sz w:val="22"/>
          <w:szCs w:val="22"/>
          <w:lang w:val="sr-Latn-CS"/>
        </w:rPr>
        <w:t>.</w:t>
      </w:r>
    </w:p>
    <w:p w:rsidR="00164A30" w:rsidRDefault="00164A30" w:rsidP="001B4014">
      <w:pPr>
        <w:ind w:firstLine="720"/>
        <w:rPr>
          <w:sz w:val="22"/>
          <w:szCs w:val="22"/>
          <w:lang w:val="sr-Latn-CS"/>
        </w:rPr>
      </w:pPr>
    </w:p>
    <w:p w:rsidR="007B5E9D" w:rsidRDefault="007B5E9D" w:rsidP="007B5E9D">
      <w:pPr>
        <w:rPr>
          <w:sz w:val="22"/>
          <w:szCs w:val="22"/>
          <w:lang w:val="sr-Latn-CS"/>
        </w:rPr>
      </w:pPr>
    </w:p>
    <w:p w:rsidR="007B5E9D" w:rsidRPr="00F83B73" w:rsidRDefault="007B5E9D" w:rsidP="007B5E9D">
      <w:pPr>
        <w:ind w:firstLine="720"/>
        <w:jc w:val="both"/>
        <w:rPr>
          <w:b/>
          <w:sz w:val="22"/>
          <w:szCs w:val="22"/>
          <w:lang w:val="sr-Latn-CS"/>
        </w:rPr>
      </w:pPr>
      <w:r w:rsidRPr="00F83B73">
        <w:rPr>
          <w:b/>
          <w:sz w:val="22"/>
          <w:szCs w:val="22"/>
          <w:lang w:val="sr-Latn-CS"/>
        </w:rPr>
        <w:t xml:space="preserve">Pitanje </w:t>
      </w:r>
      <w:r>
        <w:rPr>
          <w:b/>
          <w:sz w:val="22"/>
          <w:szCs w:val="22"/>
          <w:lang w:val="sr-Latn-CS"/>
        </w:rPr>
        <w:t>76</w:t>
      </w:r>
      <w:r w:rsidRPr="00F83B73">
        <w:rPr>
          <w:b/>
          <w:sz w:val="22"/>
          <w:szCs w:val="22"/>
          <w:lang w:val="sr-Latn-CS"/>
        </w:rPr>
        <w:t>:</w:t>
      </w:r>
    </w:p>
    <w:p w:rsidR="001B4014" w:rsidRDefault="001B4014" w:rsidP="007B5E9D">
      <w:pPr>
        <w:ind w:firstLine="720"/>
        <w:rPr>
          <w:sz w:val="22"/>
          <w:szCs w:val="22"/>
          <w:lang w:val="sr-Latn-CS"/>
        </w:rPr>
      </w:pPr>
    </w:p>
    <w:p w:rsidR="007B5E9D" w:rsidRDefault="007B5E9D" w:rsidP="00DC24A1">
      <w:pPr>
        <w:ind w:firstLine="720"/>
        <w:jc w:val="both"/>
        <w:rPr>
          <w:sz w:val="22"/>
          <w:szCs w:val="22"/>
          <w:lang w:val="sr-Latn-CS"/>
        </w:rPr>
      </w:pPr>
      <w:r>
        <w:rPr>
          <w:sz w:val="22"/>
          <w:szCs w:val="22"/>
          <w:lang w:val="sr-Latn-CS"/>
        </w:rPr>
        <w:t>Na str. 32, u delu koji se odnosi na redosled slaganja dokumentacije, navodi se pod tačkom 5. Izjava o ispunjavanju kvalifikacionih uslova. Pošto dokument pod tim nazivom nismo uspeli da nađemo u tenderskoj dokumentaciji, da li se misli na dokument na str. 54 – Izjava o ispunjavanju poslovnog kapaciteta ili, ako ne, na koji se tačno misli?</w:t>
      </w:r>
    </w:p>
    <w:p w:rsidR="007B5E9D" w:rsidRDefault="007B5E9D" w:rsidP="007B5E9D">
      <w:pPr>
        <w:rPr>
          <w:sz w:val="22"/>
          <w:szCs w:val="22"/>
          <w:lang w:val="sr-Latn-CS"/>
        </w:rPr>
      </w:pPr>
    </w:p>
    <w:p w:rsidR="007B5E9D" w:rsidRPr="00F83B73" w:rsidRDefault="00DC24A1" w:rsidP="007B5E9D">
      <w:pPr>
        <w:ind w:firstLine="720"/>
        <w:jc w:val="both"/>
        <w:rPr>
          <w:b/>
          <w:sz w:val="22"/>
          <w:szCs w:val="22"/>
          <w:lang w:val="sr-Latn-CS"/>
        </w:rPr>
      </w:pPr>
      <w:r>
        <w:rPr>
          <w:b/>
          <w:sz w:val="22"/>
          <w:szCs w:val="22"/>
          <w:lang w:val="sr-Latn-CS"/>
        </w:rPr>
        <w:t>Odgovor 76</w:t>
      </w:r>
      <w:r w:rsidR="007B5E9D" w:rsidRPr="00F83B73">
        <w:rPr>
          <w:b/>
          <w:sz w:val="22"/>
          <w:szCs w:val="22"/>
          <w:lang w:val="sr-Latn-CS"/>
        </w:rPr>
        <w:t>:</w:t>
      </w:r>
    </w:p>
    <w:p w:rsidR="007B5E9D" w:rsidRDefault="007B5E9D" w:rsidP="007B5E9D">
      <w:pPr>
        <w:tabs>
          <w:tab w:val="left" w:pos="922"/>
        </w:tabs>
        <w:rPr>
          <w:sz w:val="22"/>
          <w:szCs w:val="22"/>
          <w:lang w:val="sr-Latn-CS"/>
        </w:rPr>
      </w:pPr>
    </w:p>
    <w:p w:rsidR="007B5E9D" w:rsidRDefault="007B5E9D" w:rsidP="007B5E9D">
      <w:pPr>
        <w:tabs>
          <w:tab w:val="left" w:pos="922"/>
        </w:tabs>
        <w:rPr>
          <w:sz w:val="22"/>
          <w:szCs w:val="22"/>
          <w:lang w:val="sr-Latn-CS"/>
        </w:rPr>
      </w:pPr>
      <w:r>
        <w:rPr>
          <w:sz w:val="22"/>
          <w:szCs w:val="22"/>
          <w:lang w:val="sr-Latn-CS"/>
        </w:rPr>
        <w:tab/>
      </w:r>
      <w:r w:rsidR="001E4640">
        <w:rPr>
          <w:sz w:val="22"/>
          <w:szCs w:val="22"/>
          <w:lang w:val="sr-Latn-CS"/>
        </w:rPr>
        <w:t>Da, p</w:t>
      </w:r>
      <w:r>
        <w:rPr>
          <w:sz w:val="22"/>
          <w:szCs w:val="22"/>
          <w:lang w:val="sr-Latn-CS"/>
        </w:rPr>
        <w:t>od Izjavom o ispunjavanju kvalifikacionih uslova podrazumeva se dokument na str. 54 – Izjava o ispunjavanju poslovnog kapaciteta.</w:t>
      </w:r>
    </w:p>
    <w:p w:rsidR="00164A30" w:rsidRDefault="00164A30" w:rsidP="007B5E9D">
      <w:pPr>
        <w:tabs>
          <w:tab w:val="left" w:pos="922"/>
        </w:tabs>
        <w:rPr>
          <w:sz w:val="22"/>
          <w:szCs w:val="22"/>
          <w:lang w:val="sr-Latn-CS"/>
        </w:rPr>
      </w:pPr>
    </w:p>
    <w:p w:rsidR="00164A30" w:rsidRDefault="00164A30" w:rsidP="007B5E9D">
      <w:pPr>
        <w:tabs>
          <w:tab w:val="left" w:pos="922"/>
        </w:tabs>
        <w:rPr>
          <w:sz w:val="22"/>
          <w:szCs w:val="22"/>
          <w:lang w:val="sr-Latn-CS"/>
        </w:rPr>
      </w:pPr>
    </w:p>
    <w:p w:rsidR="00164A30" w:rsidRDefault="00164A30" w:rsidP="007B5E9D">
      <w:pPr>
        <w:tabs>
          <w:tab w:val="left" w:pos="922"/>
        </w:tabs>
        <w:rPr>
          <w:sz w:val="22"/>
          <w:szCs w:val="22"/>
          <w:lang w:val="sr-Latn-CS"/>
        </w:rPr>
      </w:pPr>
    </w:p>
    <w:p w:rsidR="00DC24A1" w:rsidRDefault="00DC24A1" w:rsidP="007B5E9D">
      <w:pPr>
        <w:tabs>
          <w:tab w:val="left" w:pos="922"/>
        </w:tabs>
        <w:rPr>
          <w:sz w:val="22"/>
          <w:szCs w:val="22"/>
          <w:lang w:val="sr-Latn-CS"/>
        </w:rPr>
      </w:pPr>
    </w:p>
    <w:p w:rsidR="00DC24A1" w:rsidRDefault="00DC24A1" w:rsidP="00DC24A1">
      <w:pPr>
        <w:ind w:firstLine="720"/>
        <w:jc w:val="both"/>
        <w:rPr>
          <w:b/>
          <w:sz w:val="22"/>
          <w:szCs w:val="22"/>
          <w:lang w:val="sr-Latn-CS"/>
        </w:rPr>
      </w:pPr>
      <w:r w:rsidRPr="00F83B73">
        <w:rPr>
          <w:b/>
          <w:sz w:val="22"/>
          <w:szCs w:val="22"/>
          <w:lang w:val="sr-Latn-CS"/>
        </w:rPr>
        <w:t xml:space="preserve">Pitanje </w:t>
      </w:r>
      <w:r>
        <w:rPr>
          <w:b/>
          <w:sz w:val="22"/>
          <w:szCs w:val="22"/>
          <w:lang w:val="sr-Latn-CS"/>
        </w:rPr>
        <w:t>77</w:t>
      </w:r>
      <w:r w:rsidRPr="00F83B73">
        <w:rPr>
          <w:b/>
          <w:sz w:val="22"/>
          <w:szCs w:val="22"/>
          <w:lang w:val="sr-Latn-CS"/>
        </w:rPr>
        <w:t>:</w:t>
      </w:r>
    </w:p>
    <w:p w:rsidR="00DC24A1" w:rsidRDefault="00DC24A1" w:rsidP="00DC24A1">
      <w:pPr>
        <w:ind w:firstLine="720"/>
        <w:jc w:val="both"/>
        <w:rPr>
          <w:b/>
          <w:sz w:val="22"/>
          <w:szCs w:val="22"/>
          <w:lang w:val="sr-Latn-CS"/>
        </w:rPr>
      </w:pPr>
    </w:p>
    <w:p w:rsidR="00DC24A1" w:rsidRDefault="00DC24A1" w:rsidP="00DC24A1">
      <w:pPr>
        <w:ind w:firstLine="720"/>
        <w:jc w:val="both"/>
        <w:rPr>
          <w:sz w:val="22"/>
          <w:szCs w:val="22"/>
          <w:lang w:val="sr-Latn-CS"/>
        </w:rPr>
      </w:pPr>
      <w:r w:rsidRPr="00DC24A1">
        <w:rPr>
          <w:sz w:val="22"/>
          <w:szCs w:val="22"/>
          <w:lang w:val="sr-Latn-CS"/>
        </w:rPr>
        <w:t>Na str.</w:t>
      </w:r>
      <w:r>
        <w:rPr>
          <w:sz w:val="22"/>
          <w:szCs w:val="22"/>
          <w:lang w:val="sr-Latn-CS"/>
        </w:rPr>
        <w:t xml:space="preserve"> 13 pod tačkom 11.1c navedeno je da je neophodno dostaviti ovlašćenje za potpisivanje ponude ali nigde nije dat obrazac ili navedena forma kako to ovlašćenje treba da izgleda. Da li može da bude na memorandumu ponuđača u slobodnoj formi?</w:t>
      </w:r>
    </w:p>
    <w:p w:rsidR="00164A30" w:rsidRDefault="00164A30" w:rsidP="00DC24A1">
      <w:pPr>
        <w:ind w:firstLine="720"/>
        <w:jc w:val="both"/>
        <w:rPr>
          <w:sz w:val="22"/>
          <w:szCs w:val="22"/>
          <w:lang w:val="sr-Latn-CS"/>
        </w:rPr>
      </w:pPr>
    </w:p>
    <w:p w:rsidR="00DC24A1" w:rsidRPr="00DC24A1" w:rsidRDefault="00DC24A1" w:rsidP="00DC24A1">
      <w:pPr>
        <w:ind w:firstLine="720"/>
        <w:jc w:val="both"/>
        <w:rPr>
          <w:sz w:val="22"/>
          <w:szCs w:val="22"/>
          <w:lang w:val="sr-Latn-CS"/>
        </w:rPr>
      </w:pPr>
    </w:p>
    <w:p w:rsidR="00DC24A1" w:rsidRDefault="00DC24A1" w:rsidP="00DC24A1">
      <w:pPr>
        <w:ind w:firstLine="720"/>
        <w:jc w:val="both"/>
        <w:rPr>
          <w:b/>
          <w:sz w:val="22"/>
          <w:szCs w:val="22"/>
          <w:lang w:val="sr-Latn-CS"/>
        </w:rPr>
      </w:pPr>
      <w:r>
        <w:rPr>
          <w:b/>
          <w:sz w:val="22"/>
          <w:szCs w:val="22"/>
          <w:lang w:val="sr-Latn-CS"/>
        </w:rPr>
        <w:t>Odgovor 77</w:t>
      </w:r>
      <w:r w:rsidRPr="00F83B73">
        <w:rPr>
          <w:b/>
          <w:sz w:val="22"/>
          <w:szCs w:val="22"/>
          <w:lang w:val="sr-Latn-CS"/>
        </w:rPr>
        <w:t>:</w:t>
      </w:r>
    </w:p>
    <w:p w:rsidR="00DC24A1" w:rsidRPr="00F83B73" w:rsidRDefault="00DC24A1" w:rsidP="00DC24A1">
      <w:pPr>
        <w:ind w:firstLine="720"/>
        <w:jc w:val="both"/>
        <w:rPr>
          <w:b/>
          <w:sz w:val="22"/>
          <w:szCs w:val="22"/>
          <w:lang w:val="sr-Latn-CS"/>
        </w:rPr>
      </w:pPr>
    </w:p>
    <w:p w:rsidR="00DC24A1" w:rsidRDefault="00DC24A1" w:rsidP="00DC24A1">
      <w:pPr>
        <w:ind w:firstLine="720"/>
        <w:jc w:val="both"/>
        <w:rPr>
          <w:sz w:val="22"/>
          <w:szCs w:val="22"/>
          <w:lang w:val="sr-Latn-CS"/>
        </w:rPr>
      </w:pPr>
      <w:r w:rsidRPr="00F83B73">
        <w:rPr>
          <w:sz w:val="22"/>
          <w:szCs w:val="22"/>
          <w:lang w:val="sr-Latn-CS"/>
        </w:rPr>
        <w:t xml:space="preserve">Osim pridržavanja zakonom propisanih uslova, Naručilac nema posebne zahteve u pogledu </w:t>
      </w:r>
      <w:r w:rsidR="00A011BB">
        <w:rPr>
          <w:sz w:val="22"/>
          <w:szCs w:val="22"/>
          <w:lang w:val="sr-Latn-CS"/>
        </w:rPr>
        <w:t>ovlašćenje za potpisivanje ponude</w:t>
      </w:r>
      <w:r w:rsidRPr="00F83B73">
        <w:rPr>
          <w:sz w:val="22"/>
          <w:szCs w:val="22"/>
          <w:lang w:val="sr-Latn-CS"/>
        </w:rPr>
        <w:t xml:space="preserve">. </w:t>
      </w:r>
      <w:r w:rsidR="00A011BB">
        <w:rPr>
          <w:sz w:val="22"/>
          <w:szCs w:val="22"/>
          <w:lang w:val="sr-Latn-CS"/>
        </w:rPr>
        <w:t>Navedeno ovlašćenje može biti dostavljeno na memorandumu ponuđača u slobodnoj formi</w:t>
      </w:r>
      <w:r w:rsidRPr="00F83B73">
        <w:rPr>
          <w:sz w:val="22"/>
          <w:szCs w:val="22"/>
          <w:lang w:val="sr-Latn-CS"/>
        </w:rPr>
        <w:t>.</w:t>
      </w:r>
    </w:p>
    <w:p w:rsidR="00164A30" w:rsidRDefault="00164A30" w:rsidP="00DC24A1">
      <w:pPr>
        <w:ind w:firstLine="720"/>
        <w:jc w:val="both"/>
        <w:rPr>
          <w:sz w:val="22"/>
          <w:szCs w:val="22"/>
          <w:lang w:val="sr-Latn-CS"/>
        </w:rPr>
      </w:pPr>
    </w:p>
    <w:p w:rsidR="00CC457D" w:rsidRPr="00F83B73" w:rsidRDefault="00CC457D" w:rsidP="00DC24A1">
      <w:pPr>
        <w:ind w:firstLine="720"/>
        <w:jc w:val="both"/>
        <w:rPr>
          <w:sz w:val="22"/>
          <w:szCs w:val="22"/>
          <w:lang w:val="sr-Latn-CS"/>
        </w:rPr>
      </w:pPr>
    </w:p>
    <w:p w:rsidR="00CC457D" w:rsidRDefault="00CC457D" w:rsidP="00CC457D">
      <w:pPr>
        <w:ind w:firstLine="720"/>
        <w:jc w:val="both"/>
        <w:rPr>
          <w:b/>
          <w:sz w:val="22"/>
          <w:szCs w:val="22"/>
          <w:lang w:val="sr-Latn-CS"/>
        </w:rPr>
      </w:pPr>
      <w:r w:rsidRPr="00F83B73">
        <w:rPr>
          <w:b/>
          <w:sz w:val="22"/>
          <w:szCs w:val="22"/>
          <w:lang w:val="sr-Latn-CS"/>
        </w:rPr>
        <w:t xml:space="preserve">Pitanje </w:t>
      </w:r>
      <w:r>
        <w:rPr>
          <w:b/>
          <w:sz w:val="22"/>
          <w:szCs w:val="22"/>
          <w:lang w:val="sr-Latn-CS"/>
        </w:rPr>
        <w:t>78</w:t>
      </w:r>
      <w:r w:rsidRPr="00F83B73">
        <w:rPr>
          <w:b/>
          <w:sz w:val="22"/>
          <w:szCs w:val="22"/>
          <w:lang w:val="sr-Latn-CS"/>
        </w:rPr>
        <w:t>:</w:t>
      </w:r>
    </w:p>
    <w:p w:rsidR="00DC24A1" w:rsidRDefault="00DC24A1" w:rsidP="007B5E9D">
      <w:pPr>
        <w:tabs>
          <w:tab w:val="left" w:pos="922"/>
        </w:tabs>
        <w:rPr>
          <w:sz w:val="22"/>
          <w:szCs w:val="22"/>
          <w:lang w:val="sr-Latn-CS"/>
        </w:rPr>
      </w:pPr>
    </w:p>
    <w:p w:rsidR="00C526B4" w:rsidRDefault="009A2AB4" w:rsidP="00C526B4">
      <w:pPr>
        <w:tabs>
          <w:tab w:val="left" w:pos="922"/>
        </w:tabs>
        <w:jc w:val="both"/>
        <w:rPr>
          <w:sz w:val="22"/>
          <w:szCs w:val="22"/>
          <w:lang w:val="sr-Latn-CS"/>
        </w:rPr>
      </w:pPr>
      <w:r>
        <w:rPr>
          <w:sz w:val="22"/>
          <w:szCs w:val="22"/>
          <w:lang w:val="sr-Latn-CS"/>
        </w:rPr>
        <w:tab/>
      </w:r>
      <w:r w:rsidR="00C526B4">
        <w:rPr>
          <w:sz w:val="22"/>
          <w:szCs w:val="22"/>
          <w:lang w:val="sr-Latn-CS"/>
        </w:rPr>
        <w:t xml:space="preserve">U dokumentaciji (str. 43) je navedeno da je Obrazac strukture cene sa tehničkim specifikacijama i rasporedom isporučivanja dat u prilogu dokumentacije kao poseban fajl i da ga je potrebno popuniti i dostaviti u pisanoj i elektronskoj formi bez izmena u dokumentu. Obzirom da dokument nismo našli kao poseban fajl već samo u sklopu tenderske dokumentacije u formi koja se </w:t>
      </w:r>
      <w:r w:rsidR="00352C28">
        <w:rPr>
          <w:sz w:val="22"/>
          <w:szCs w:val="22"/>
          <w:lang w:val="sr-Latn-CS"/>
        </w:rPr>
        <w:t>ne može elektronski popunjavati</w:t>
      </w:r>
      <w:r w:rsidR="00C526B4">
        <w:rPr>
          <w:sz w:val="22"/>
          <w:szCs w:val="22"/>
          <w:lang w:val="sr-Latn-CS"/>
        </w:rPr>
        <w:t>, molimo vas da objasnite gde se tačno nalazi fajl ili na koji način da popunimo postojeći obrazac u elektronskoj formi?</w:t>
      </w:r>
    </w:p>
    <w:p w:rsidR="000E15F9" w:rsidRDefault="000E15F9" w:rsidP="00C526B4">
      <w:pPr>
        <w:tabs>
          <w:tab w:val="left" w:pos="922"/>
        </w:tabs>
        <w:jc w:val="both"/>
        <w:rPr>
          <w:sz w:val="22"/>
          <w:szCs w:val="22"/>
          <w:lang w:val="sr-Latn-CS"/>
        </w:rPr>
      </w:pPr>
      <w:r>
        <w:rPr>
          <w:sz w:val="22"/>
          <w:szCs w:val="22"/>
          <w:lang w:val="sr-Latn-CS"/>
        </w:rPr>
        <w:t>U istom obrascu postoji kolona sa nazivom projekat. Molimo vas da pojasnite  na šta se odnosi ovaj pojam i na koji način popuniti ovu kolonu?</w:t>
      </w:r>
    </w:p>
    <w:p w:rsidR="00164A30" w:rsidRDefault="00164A30" w:rsidP="00C526B4">
      <w:pPr>
        <w:tabs>
          <w:tab w:val="left" w:pos="922"/>
        </w:tabs>
        <w:jc w:val="both"/>
        <w:rPr>
          <w:sz w:val="22"/>
          <w:szCs w:val="22"/>
          <w:lang w:val="sr-Latn-CS"/>
        </w:rPr>
      </w:pPr>
    </w:p>
    <w:p w:rsidR="00C526B4" w:rsidRDefault="00C526B4" w:rsidP="00C526B4">
      <w:pPr>
        <w:rPr>
          <w:sz w:val="22"/>
          <w:szCs w:val="22"/>
          <w:lang w:val="sr-Latn-CS"/>
        </w:rPr>
      </w:pPr>
    </w:p>
    <w:p w:rsidR="00C526B4" w:rsidRDefault="00C526B4" w:rsidP="00C526B4">
      <w:pPr>
        <w:ind w:firstLine="720"/>
        <w:jc w:val="both"/>
        <w:rPr>
          <w:b/>
          <w:sz w:val="22"/>
          <w:szCs w:val="22"/>
          <w:lang w:val="sr-Latn-CS"/>
        </w:rPr>
      </w:pPr>
      <w:r>
        <w:rPr>
          <w:b/>
          <w:sz w:val="22"/>
          <w:szCs w:val="22"/>
          <w:lang w:val="sr-Latn-CS"/>
        </w:rPr>
        <w:t>Odgovor 78</w:t>
      </w:r>
      <w:r w:rsidRPr="00F83B73">
        <w:rPr>
          <w:b/>
          <w:sz w:val="22"/>
          <w:szCs w:val="22"/>
          <w:lang w:val="sr-Latn-CS"/>
        </w:rPr>
        <w:t>:</w:t>
      </w:r>
    </w:p>
    <w:p w:rsidR="009A2AB4" w:rsidRDefault="009A2AB4" w:rsidP="00C526B4">
      <w:pPr>
        <w:ind w:firstLine="720"/>
        <w:rPr>
          <w:sz w:val="22"/>
          <w:szCs w:val="22"/>
          <w:lang w:val="sr-Latn-CS"/>
        </w:rPr>
      </w:pPr>
    </w:p>
    <w:p w:rsidR="003C76FD" w:rsidRDefault="009A2AB4" w:rsidP="00C526B4">
      <w:pPr>
        <w:ind w:firstLine="720"/>
        <w:rPr>
          <w:sz w:val="22"/>
          <w:szCs w:val="22"/>
          <w:lang w:val="sr-Latn-CS"/>
        </w:rPr>
      </w:pPr>
      <w:r>
        <w:rPr>
          <w:sz w:val="22"/>
          <w:szCs w:val="22"/>
          <w:lang w:val="sr-Latn-CS"/>
        </w:rPr>
        <w:t>Obrazac strukture cene sa tehničkim specifikacijama i rasporedom isporučivanja</w:t>
      </w:r>
      <w:r w:rsidR="00352C28">
        <w:rPr>
          <w:sz w:val="22"/>
          <w:szCs w:val="22"/>
          <w:lang w:val="sr-Latn-CS"/>
        </w:rPr>
        <w:t xml:space="preserve"> nalazi se na web strani</w:t>
      </w:r>
      <w:r w:rsidR="005F010F">
        <w:rPr>
          <w:sz w:val="22"/>
          <w:szCs w:val="22"/>
          <w:lang w:val="sr-Latn-CS"/>
        </w:rPr>
        <w:t xml:space="preserve"> Naručioca na kojoj se nalazi i Tenderska dokumentacija</w:t>
      </w:r>
      <w:r w:rsidR="008A7980">
        <w:rPr>
          <w:sz w:val="22"/>
          <w:szCs w:val="22"/>
          <w:lang w:val="sr-Latn-CS"/>
        </w:rPr>
        <w:t>,</w:t>
      </w:r>
      <w:r w:rsidR="005F010F">
        <w:rPr>
          <w:sz w:val="22"/>
          <w:szCs w:val="22"/>
          <w:lang w:val="sr-Latn-CS"/>
        </w:rPr>
        <w:t xml:space="preserve"> kao poseban excel fajl.</w:t>
      </w:r>
      <w:r w:rsidR="000E15F9" w:rsidRPr="000E15F9">
        <w:rPr>
          <w:sz w:val="22"/>
          <w:szCs w:val="22"/>
          <w:lang w:val="sr-Latn-CS"/>
        </w:rPr>
        <w:t xml:space="preserve"> </w:t>
      </w:r>
      <w:r w:rsidR="000E15F9">
        <w:rPr>
          <w:sz w:val="22"/>
          <w:szCs w:val="22"/>
          <w:lang w:val="sr-Latn-CS"/>
        </w:rPr>
        <w:t>Kolona sa nazivom Projekat se ne popunjava.</w:t>
      </w:r>
    </w:p>
    <w:p w:rsidR="003C76FD" w:rsidRPr="003C76FD" w:rsidRDefault="003C76FD" w:rsidP="003C76FD">
      <w:pPr>
        <w:rPr>
          <w:sz w:val="22"/>
          <w:szCs w:val="22"/>
          <w:lang w:val="sr-Latn-CS"/>
        </w:rPr>
      </w:pPr>
    </w:p>
    <w:p w:rsidR="003C76FD" w:rsidRDefault="003C76FD" w:rsidP="003C76FD">
      <w:pPr>
        <w:rPr>
          <w:sz w:val="22"/>
          <w:szCs w:val="22"/>
          <w:lang w:val="sr-Latn-CS"/>
        </w:rPr>
      </w:pPr>
    </w:p>
    <w:p w:rsidR="003C76FD" w:rsidRDefault="003C76FD" w:rsidP="003C76FD">
      <w:pPr>
        <w:ind w:firstLine="720"/>
        <w:jc w:val="both"/>
        <w:rPr>
          <w:b/>
          <w:sz w:val="22"/>
          <w:szCs w:val="22"/>
          <w:lang w:val="sr-Latn-CS"/>
        </w:rPr>
      </w:pPr>
      <w:r w:rsidRPr="00F83B73">
        <w:rPr>
          <w:b/>
          <w:sz w:val="22"/>
          <w:szCs w:val="22"/>
          <w:lang w:val="sr-Latn-CS"/>
        </w:rPr>
        <w:t xml:space="preserve">Pitanje </w:t>
      </w:r>
      <w:r>
        <w:rPr>
          <w:b/>
          <w:sz w:val="22"/>
          <w:szCs w:val="22"/>
          <w:lang w:val="sr-Latn-CS"/>
        </w:rPr>
        <w:t>79</w:t>
      </w:r>
      <w:r w:rsidRPr="00F83B73">
        <w:rPr>
          <w:b/>
          <w:sz w:val="22"/>
          <w:szCs w:val="22"/>
          <w:lang w:val="sr-Latn-CS"/>
        </w:rPr>
        <w:t>:</w:t>
      </w:r>
    </w:p>
    <w:p w:rsidR="003C76FD" w:rsidRDefault="003C76FD" w:rsidP="003C76FD">
      <w:pPr>
        <w:rPr>
          <w:sz w:val="22"/>
          <w:szCs w:val="22"/>
          <w:lang w:val="sr-Latn-CS"/>
        </w:rPr>
      </w:pPr>
    </w:p>
    <w:p w:rsidR="003C76FD" w:rsidRDefault="003C76FD" w:rsidP="003C76FD">
      <w:pPr>
        <w:rPr>
          <w:sz w:val="22"/>
          <w:szCs w:val="22"/>
          <w:lang w:val="sr-Latn-CS"/>
        </w:rPr>
      </w:pPr>
    </w:p>
    <w:p w:rsidR="00392088" w:rsidRDefault="003C76FD" w:rsidP="00392088">
      <w:pPr>
        <w:ind w:firstLine="720"/>
        <w:jc w:val="both"/>
        <w:rPr>
          <w:sz w:val="22"/>
          <w:szCs w:val="22"/>
          <w:lang w:val="sr-Latn-CS"/>
        </w:rPr>
      </w:pPr>
      <w:r>
        <w:rPr>
          <w:sz w:val="22"/>
          <w:szCs w:val="22"/>
          <w:lang w:val="sr-Latn-CS"/>
        </w:rPr>
        <w:t xml:space="preserve">U dopuni </w:t>
      </w:r>
      <w:r w:rsidR="005C5F18">
        <w:rPr>
          <w:sz w:val="22"/>
          <w:szCs w:val="22"/>
          <w:lang w:val="sr-Latn-CS"/>
        </w:rPr>
        <w:t xml:space="preserve">tenderske dokumentacije izvršene 7. </w:t>
      </w:r>
      <w:r w:rsidR="00392088">
        <w:rPr>
          <w:sz w:val="22"/>
          <w:szCs w:val="22"/>
          <w:lang w:val="sr-Latn-CS"/>
        </w:rPr>
        <w:t>d</w:t>
      </w:r>
      <w:r w:rsidR="005C5F18">
        <w:rPr>
          <w:sz w:val="22"/>
          <w:szCs w:val="22"/>
          <w:lang w:val="sr-Latn-CS"/>
        </w:rPr>
        <w:t xml:space="preserve">ecembra 2011. </w:t>
      </w:r>
      <w:r w:rsidR="00392088">
        <w:rPr>
          <w:sz w:val="22"/>
          <w:szCs w:val="22"/>
          <w:lang w:val="sr-Latn-CS"/>
        </w:rPr>
        <w:t>g</w:t>
      </w:r>
      <w:r w:rsidR="005C5F18">
        <w:rPr>
          <w:sz w:val="22"/>
          <w:szCs w:val="22"/>
          <w:lang w:val="sr-Latn-CS"/>
        </w:rPr>
        <w:t>odine pod stavkom 1 ste naveli da ponuđač može dostaviti bankarsku garanciju u iznosu od 5% od iznosa ponude ili blanko solo menicu i menično ovlašćenje u korist naručioca u istom iznosu. Zatim, u dokumentu Obaveštenje 1 i 2 stoji da je izmenjena tenderska dokumentacija jer ste uvideli grešku i da se menja iznos bankarske garancije sa 10% na 5% i da sve ponude moraju sadržati bankarsku garanciju  u iznosu od 5%. Pitanje: koji dokument je validan</w:t>
      </w:r>
      <w:r w:rsidR="00392088">
        <w:rPr>
          <w:sz w:val="22"/>
          <w:szCs w:val="22"/>
          <w:lang w:val="sr-Latn-CS"/>
        </w:rPr>
        <w:t>, jer u Obaveštenju 1 i 2 ne stoji datum izmene, i koji dokument može da se dostavi u vidu garancije?</w:t>
      </w:r>
    </w:p>
    <w:p w:rsidR="00392088" w:rsidRPr="00392088" w:rsidRDefault="00392088" w:rsidP="00392088">
      <w:pPr>
        <w:rPr>
          <w:sz w:val="22"/>
          <w:szCs w:val="22"/>
          <w:lang w:val="sr-Latn-CS"/>
        </w:rPr>
      </w:pPr>
    </w:p>
    <w:p w:rsidR="00392088" w:rsidRDefault="00392088" w:rsidP="00392088">
      <w:pPr>
        <w:rPr>
          <w:sz w:val="22"/>
          <w:szCs w:val="22"/>
          <w:lang w:val="sr-Latn-CS"/>
        </w:rPr>
      </w:pPr>
    </w:p>
    <w:p w:rsidR="00392088" w:rsidRDefault="00392088" w:rsidP="00392088">
      <w:pPr>
        <w:ind w:firstLine="720"/>
        <w:jc w:val="both"/>
        <w:rPr>
          <w:b/>
          <w:sz w:val="22"/>
          <w:szCs w:val="22"/>
          <w:lang w:val="sr-Latn-CS"/>
        </w:rPr>
      </w:pPr>
      <w:r>
        <w:rPr>
          <w:b/>
          <w:sz w:val="22"/>
          <w:szCs w:val="22"/>
          <w:lang w:val="sr-Latn-CS"/>
        </w:rPr>
        <w:t>Odgovor 79</w:t>
      </w:r>
      <w:r w:rsidRPr="00F83B73">
        <w:rPr>
          <w:b/>
          <w:sz w:val="22"/>
          <w:szCs w:val="22"/>
          <w:lang w:val="sr-Latn-CS"/>
        </w:rPr>
        <w:t>:</w:t>
      </w:r>
    </w:p>
    <w:p w:rsidR="00C526B4" w:rsidRDefault="00C526B4" w:rsidP="00392088">
      <w:pPr>
        <w:ind w:firstLine="720"/>
        <w:rPr>
          <w:sz w:val="22"/>
          <w:szCs w:val="22"/>
          <w:lang w:val="sr-Latn-CS"/>
        </w:rPr>
      </w:pPr>
    </w:p>
    <w:p w:rsidR="00392088" w:rsidRDefault="00392088" w:rsidP="00164A30">
      <w:pPr>
        <w:ind w:firstLine="720"/>
        <w:jc w:val="both"/>
        <w:rPr>
          <w:bCs/>
          <w:iCs/>
          <w:sz w:val="22"/>
          <w:szCs w:val="22"/>
        </w:rPr>
      </w:pPr>
      <w:r>
        <w:rPr>
          <w:sz w:val="22"/>
          <w:szCs w:val="22"/>
          <w:lang w:val="sr-Latn-CS"/>
        </w:rPr>
        <w:t xml:space="preserve">Dokumentom: Obaveštenje 1 i 2 (deo Obaveštenje 1) izvršena je ispravka tehničke greške uočene u tekstu javnog poziva na engleskom jeziku, </w:t>
      </w:r>
      <w:r w:rsidRPr="00392088">
        <w:rPr>
          <w:sz w:val="22"/>
          <w:szCs w:val="22"/>
          <w:lang w:val="sr-Latn-CS"/>
        </w:rPr>
        <w:t xml:space="preserve">objavljenom u </w:t>
      </w:r>
      <w:r w:rsidRPr="00392088">
        <w:rPr>
          <w:bCs/>
          <w:iCs/>
          <w:sz w:val="22"/>
          <w:szCs w:val="22"/>
        </w:rPr>
        <w:t>Službenom listu Evropske Unije” dana 24.11.2011. godine</w:t>
      </w:r>
      <w:r w:rsidR="001F336A" w:rsidRPr="001F336A">
        <w:rPr>
          <w:bCs/>
          <w:iCs/>
        </w:rPr>
        <w:t xml:space="preserve"> </w:t>
      </w:r>
      <w:r w:rsidR="001F336A" w:rsidRPr="001F336A">
        <w:rPr>
          <w:bCs/>
          <w:iCs/>
          <w:sz w:val="22"/>
          <w:szCs w:val="22"/>
        </w:rPr>
        <w:t>i to u delu</w:t>
      </w:r>
      <w:r w:rsidR="001F336A" w:rsidRPr="001F336A">
        <w:rPr>
          <w:bCs/>
          <w:iCs/>
          <w:sz w:val="22"/>
          <w:szCs w:val="22"/>
          <w:lang w:val="sr-Cyrl-CS"/>
        </w:rPr>
        <w:t xml:space="preserve"> </w:t>
      </w:r>
      <w:r w:rsidR="001F336A" w:rsidRPr="001F336A">
        <w:rPr>
          <w:bCs/>
          <w:iCs/>
          <w:sz w:val="22"/>
          <w:szCs w:val="22"/>
        </w:rPr>
        <w:t xml:space="preserve">javnog poziva </w:t>
      </w:r>
      <w:r w:rsidR="001F336A" w:rsidRPr="001F336A">
        <w:rPr>
          <w:sz w:val="22"/>
          <w:szCs w:val="22"/>
        </w:rPr>
        <w:t>koji se odnosi na visinu iznosa tenderske bankarske garancije koja predstavlja obavezan deo ponuda ponuđača</w:t>
      </w:r>
      <w:r w:rsidRPr="001F336A">
        <w:rPr>
          <w:bCs/>
          <w:iCs/>
          <w:sz w:val="22"/>
          <w:szCs w:val="22"/>
        </w:rPr>
        <w:t>.</w:t>
      </w:r>
    </w:p>
    <w:p w:rsidR="00164A30" w:rsidRDefault="00164A30" w:rsidP="00164A30">
      <w:pPr>
        <w:ind w:firstLine="720"/>
        <w:jc w:val="both"/>
        <w:rPr>
          <w:bCs/>
          <w:iCs/>
          <w:sz w:val="22"/>
          <w:szCs w:val="22"/>
        </w:rPr>
      </w:pPr>
    </w:p>
    <w:p w:rsidR="00164A30" w:rsidRDefault="00164A30" w:rsidP="00164A30">
      <w:pPr>
        <w:ind w:firstLine="720"/>
        <w:jc w:val="both"/>
        <w:rPr>
          <w:bCs/>
          <w:iCs/>
          <w:sz w:val="22"/>
          <w:szCs w:val="22"/>
        </w:rPr>
      </w:pPr>
    </w:p>
    <w:p w:rsidR="00164A30" w:rsidRPr="001F336A" w:rsidRDefault="00164A30" w:rsidP="00164A30">
      <w:pPr>
        <w:ind w:firstLine="720"/>
        <w:jc w:val="both"/>
        <w:rPr>
          <w:bCs/>
          <w:iCs/>
          <w:sz w:val="22"/>
          <w:szCs w:val="22"/>
        </w:rPr>
      </w:pPr>
    </w:p>
    <w:p w:rsidR="001F336A" w:rsidRDefault="001F336A" w:rsidP="001F336A">
      <w:pPr>
        <w:jc w:val="both"/>
        <w:rPr>
          <w:sz w:val="22"/>
          <w:szCs w:val="22"/>
        </w:rPr>
      </w:pPr>
      <w:r w:rsidRPr="001F336A">
        <w:rPr>
          <w:bCs/>
          <w:iCs/>
          <w:sz w:val="22"/>
          <w:szCs w:val="22"/>
        </w:rPr>
        <w:t xml:space="preserve">Dokumentom: Dopuna tenderske dokumentacije od </w:t>
      </w:r>
      <w:r w:rsidRPr="001F336A">
        <w:rPr>
          <w:sz w:val="22"/>
          <w:szCs w:val="22"/>
          <w:lang w:val="sr-Latn-CS"/>
        </w:rPr>
        <w:t xml:space="preserve">7. decembra 2011. godine, tačka 1, izvršena je dopuna Tenderske dokumentacije utoliko što je </w:t>
      </w:r>
      <w:r>
        <w:rPr>
          <w:sz w:val="22"/>
          <w:szCs w:val="22"/>
          <w:lang w:val="sr-Latn-CS"/>
        </w:rPr>
        <w:t>ponuđačima data mogućnost</w:t>
      </w:r>
      <w:r>
        <w:rPr>
          <w:sz w:val="22"/>
          <w:szCs w:val="22"/>
        </w:rPr>
        <w:t xml:space="preserve"> da</w:t>
      </w:r>
      <w:r w:rsidRPr="001F336A">
        <w:rPr>
          <w:sz w:val="22"/>
          <w:szCs w:val="22"/>
        </w:rPr>
        <w:t xml:space="preserve"> </w:t>
      </w:r>
      <w:r>
        <w:rPr>
          <w:sz w:val="22"/>
          <w:szCs w:val="22"/>
        </w:rPr>
        <w:t xml:space="preserve">kao Garanciju ponude, </w:t>
      </w:r>
      <w:r w:rsidRPr="001F336A">
        <w:rPr>
          <w:sz w:val="22"/>
          <w:szCs w:val="22"/>
        </w:rPr>
        <w:t>umesto tenderske bankarske garancije</w:t>
      </w:r>
      <w:r w:rsidRPr="001F336A">
        <w:rPr>
          <w:sz w:val="22"/>
          <w:szCs w:val="22"/>
          <w:lang w:val="it-IT"/>
        </w:rPr>
        <w:t xml:space="preserve"> u iznosu od </w:t>
      </w:r>
      <w:r w:rsidRPr="001F336A">
        <w:rPr>
          <w:sz w:val="22"/>
          <w:szCs w:val="22"/>
        </w:rPr>
        <w:t>5 (pet) procenata od vrednosti</w:t>
      </w:r>
      <w:r>
        <w:rPr>
          <w:sz w:val="22"/>
          <w:szCs w:val="22"/>
        </w:rPr>
        <w:t xml:space="preserve"> ponude, dostave</w:t>
      </w:r>
      <w:r w:rsidRPr="001F336A">
        <w:rPr>
          <w:sz w:val="22"/>
          <w:szCs w:val="22"/>
        </w:rPr>
        <w:t xml:space="preserve"> </w:t>
      </w:r>
      <w:r w:rsidRPr="001F336A">
        <w:rPr>
          <w:rFonts w:cs="Arial"/>
          <w:sz w:val="22"/>
          <w:szCs w:val="22"/>
          <w:lang w:val="it-IT"/>
        </w:rPr>
        <w:t>blanko solo</w:t>
      </w:r>
      <w:r w:rsidRPr="001F336A">
        <w:rPr>
          <w:sz w:val="22"/>
          <w:szCs w:val="22"/>
        </w:rPr>
        <w:t xml:space="preserve"> menicu i menično ovlašćenje u korist naručioca, </w:t>
      </w:r>
      <w:r w:rsidRPr="001F336A">
        <w:rPr>
          <w:sz w:val="22"/>
          <w:szCs w:val="22"/>
          <w:lang w:val="it-IT"/>
        </w:rPr>
        <w:t xml:space="preserve">u iznosu od </w:t>
      </w:r>
      <w:r w:rsidRPr="001F336A">
        <w:rPr>
          <w:sz w:val="22"/>
          <w:szCs w:val="22"/>
        </w:rPr>
        <w:t xml:space="preserve">5 (pet) procenata od vrednosti ponude, koja menica </w:t>
      </w:r>
      <w:r w:rsidRPr="001F336A">
        <w:rPr>
          <w:sz w:val="22"/>
          <w:szCs w:val="22"/>
          <w:lang w:val="ru-RU"/>
        </w:rPr>
        <w:t>treba da bude sa klauzulom „bez protesta”, rokom dospeća „po viđenju”</w:t>
      </w:r>
      <w:r w:rsidRPr="001F336A">
        <w:rPr>
          <w:sz w:val="22"/>
          <w:szCs w:val="22"/>
        </w:rPr>
        <w:t xml:space="preserve"> i rokom važenja 60 dana</w:t>
      </w:r>
      <w:r w:rsidRPr="001F336A">
        <w:rPr>
          <w:b/>
          <w:sz w:val="22"/>
          <w:szCs w:val="22"/>
        </w:rPr>
        <w:t xml:space="preserve"> </w:t>
      </w:r>
      <w:r w:rsidRPr="001F336A">
        <w:rPr>
          <w:sz w:val="22"/>
          <w:szCs w:val="22"/>
        </w:rPr>
        <w:t>od dana važnosti ponude.</w:t>
      </w:r>
    </w:p>
    <w:p w:rsidR="001F336A" w:rsidRDefault="001F336A" w:rsidP="001F336A">
      <w:pPr>
        <w:jc w:val="both"/>
        <w:rPr>
          <w:sz w:val="22"/>
          <w:szCs w:val="22"/>
        </w:rPr>
      </w:pPr>
    </w:p>
    <w:p w:rsidR="00164A30" w:rsidRDefault="001F336A" w:rsidP="001F336A">
      <w:pPr>
        <w:jc w:val="both"/>
        <w:rPr>
          <w:sz w:val="22"/>
          <w:szCs w:val="22"/>
        </w:rPr>
      </w:pPr>
      <w:r>
        <w:rPr>
          <w:sz w:val="22"/>
          <w:szCs w:val="22"/>
        </w:rPr>
        <w:t xml:space="preserve">Dakle, </w:t>
      </w:r>
      <w:r w:rsidR="00FA6093">
        <w:rPr>
          <w:sz w:val="22"/>
          <w:szCs w:val="22"/>
        </w:rPr>
        <w:t>za sačinjavanje ponude,</w:t>
      </w:r>
      <w:r w:rsidR="008A7980">
        <w:rPr>
          <w:sz w:val="22"/>
          <w:szCs w:val="22"/>
        </w:rPr>
        <w:t xml:space="preserve"> </w:t>
      </w:r>
      <w:r w:rsidR="00FA6093">
        <w:rPr>
          <w:sz w:val="22"/>
          <w:szCs w:val="22"/>
        </w:rPr>
        <w:t xml:space="preserve">a u pogledu uslova Tenderske dokumentacije koji se odnose na Garanciju ponude, važe odredbe dokumenta: </w:t>
      </w:r>
      <w:r w:rsidR="00FA6093" w:rsidRPr="001F336A">
        <w:rPr>
          <w:bCs/>
          <w:iCs/>
          <w:sz w:val="22"/>
          <w:szCs w:val="22"/>
        </w:rPr>
        <w:t xml:space="preserve">Dopuna tenderske dokumentacije od </w:t>
      </w:r>
      <w:r w:rsidR="00FA6093" w:rsidRPr="001F336A">
        <w:rPr>
          <w:sz w:val="22"/>
          <w:szCs w:val="22"/>
          <w:lang w:val="sr-Latn-CS"/>
        </w:rPr>
        <w:t>7. decembra 2011. godine, tačka 1</w:t>
      </w:r>
      <w:r w:rsidR="00FA6093">
        <w:rPr>
          <w:sz w:val="22"/>
          <w:szCs w:val="22"/>
          <w:lang w:val="sr-Latn-CS"/>
        </w:rPr>
        <w:t>, što dalje znači da</w:t>
      </w:r>
      <w:r w:rsidR="00FA6093">
        <w:rPr>
          <w:sz w:val="22"/>
          <w:szCs w:val="22"/>
        </w:rPr>
        <w:t xml:space="preserve"> ponuđač, kao Gar</w:t>
      </w:r>
      <w:r w:rsidR="008A7980">
        <w:rPr>
          <w:sz w:val="22"/>
          <w:szCs w:val="22"/>
        </w:rPr>
        <w:t>a</w:t>
      </w:r>
      <w:r w:rsidR="00FA6093">
        <w:rPr>
          <w:sz w:val="22"/>
          <w:szCs w:val="22"/>
        </w:rPr>
        <w:t xml:space="preserve">nciju ponude </w:t>
      </w:r>
      <w:r w:rsidRPr="00FA6093">
        <w:rPr>
          <w:sz w:val="22"/>
          <w:szCs w:val="22"/>
        </w:rPr>
        <w:t xml:space="preserve">može dostaviti </w:t>
      </w:r>
      <w:r w:rsidR="00FA6093" w:rsidRPr="00FA6093">
        <w:rPr>
          <w:sz w:val="22"/>
          <w:szCs w:val="22"/>
        </w:rPr>
        <w:t>tendersku bankarsku garanciju</w:t>
      </w:r>
      <w:r w:rsidR="00FA6093" w:rsidRPr="00FA6093">
        <w:rPr>
          <w:sz w:val="22"/>
          <w:szCs w:val="22"/>
          <w:lang w:val="it-IT"/>
        </w:rPr>
        <w:t xml:space="preserve"> u iznosu od </w:t>
      </w:r>
      <w:r w:rsidR="00FA6093" w:rsidRPr="00FA6093">
        <w:rPr>
          <w:sz w:val="22"/>
          <w:szCs w:val="22"/>
        </w:rPr>
        <w:t xml:space="preserve">5 (pet) procenata od vrednosti ponude </w:t>
      </w:r>
      <w:r w:rsidR="00FA6093" w:rsidRPr="00FA6093">
        <w:rPr>
          <w:b/>
          <w:sz w:val="22"/>
          <w:szCs w:val="22"/>
          <w:u w:val="single"/>
        </w:rPr>
        <w:t>ili</w:t>
      </w:r>
      <w:r w:rsidR="00FA6093" w:rsidRPr="00FA6093">
        <w:rPr>
          <w:rFonts w:cs="Arial"/>
          <w:b/>
          <w:sz w:val="22"/>
          <w:szCs w:val="22"/>
          <w:u w:val="single"/>
          <w:lang w:val="it-IT"/>
        </w:rPr>
        <w:t xml:space="preserve"> </w:t>
      </w:r>
      <w:r w:rsidR="00FA6093" w:rsidRPr="00FA6093">
        <w:rPr>
          <w:rFonts w:cs="Arial"/>
          <w:sz w:val="22"/>
          <w:szCs w:val="22"/>
          <w:lang w:val="it-IT"/>
        </w:rPr>
        <w:t>blanko solo</w:t>
      </w:r>
      <w:r w:rsidR="00FA6093" w:rsidRPr="00FA6093">
        <w:rPr>
          <w:sz w:val="22"/>
          <w:szCs w:val="22"/>
        </w:rPr>
        <w:t xml:space="preserve"> menicu i menično ovlašćenje u korist naručioca, </w:t>
      </w:r>
      <w:r w:rsidR="00FA6093" w:rsidRPr="00FA6093">
        <w:rPr>
          <w:sz w:val="22"/>
          <w:szCs w:val="22"/>
          <w:lang w:val="it-IT"/>
        </w:rPr>
        <w:t xml:space="preserve">u iznosu od </w:t>
      </w:r>
      <w:r w:rsidR="00FA6093" w:rsidRPr="00FA6093">
        <w:rPr>
          <w:sz w:val="22"/>
          <w:szCs w:val="22"/>
        </w:rPr>
        <w:t xml:space="preserve">5 (pet) procenata od vrednosti ponude, koja menica </w:t>
      </w:r>
      <w:r w:rsidR="00FA6093" w:rsidRPr="00FA6093">
        <w:rPr>
          <w:sz w:val="22"/>
          <w:szCs w:val="22"/>
          <w:lang w:val="ru-RU"/>
        </w:rPr>
        <w:t>treba da bude sa klauzulom „bez protesta”, rokom dospeća „po viđenju”</w:t>
      </w:r>
      <w:r w:rsidR="00FA6093" w:rsidRPr="00FA6093">
        <w:rPr>
          <w:sz w:val="22"/>
          <w:szCs w:val="22"/>
        </w:rPr>
        <w:t xml:space="preserve"> i rokom važenja 60 dana</w:t>
      </w:r>
      <w:r w:rsidR="00FA6093" w:rsidRPr="00FA6093">
        <w:rPr>
          <w:b/>
          <w:sz w:val="22"/>
          <w:szCs w:val="22"/>
        </w:rPr>
        <w:t xml:space="preserve"> </w:t>
      </w:r>
      <w:r w:rsidR="00FA6093" w:rsidRPr="00FA6093">
        <w:rPr>
          <w:sz w:val="22"/>
          <w:szCs w:val="22"/>
        </w:rPr>
        <w:t>od dana važnosti ponude</w:t>
      </w:r>
      <w:r w:rsidR="00FA6093">
        <w:rPr>
          <w:sz w:val="22"/>
          <w:szCs w:val="22"/>
        </w:rPr>
        <w:t>.</w:t>
      </w:r>
    </w:p>
    <w:p w:rsidR="004B398B" w:rsidRPr="00FA6093" w:rsidRDefault="004B398B" w:rsidP="001F336A">
      <w:pPr>
        <w:jc w:val="both"/>
        <w:rPr>
          <w:sz w:val="22"/>
          <w:szCs w:val="22"/>
        </w:rPr>
      </w:pPr>
    </w:p>
    <w:p w:rsidR="004B398B" w:rsidRDefault="004B398B" w:rsidP="004B398B">
      <w:pPr>
        <w:ind w:firstLine="720"/>
        <w:jc w:val="both"/>
        <w:rPr>
          <w:b/>
          <w:sz w:val="22"/>
          <w:szCs w:val="22"/>
          <w:lang w:val="sr-Latn-CS"/>
        </w:rPr>
      </w:pPr>
      <w:r w:rsidRPr="00F83B73">
        <w:rPr>
          <w:b/>
          <w:sz w:val="22"/>
          <w:szCs w:val="22"/>
          <w:lang w:val="sr-Latn-CS"/>
        </w:rPr>
        <w:t xml:space="preserve">Pitanje </w:t>
      </w:r>
      <w:r>
        <w:rPr>
          <w:b/>
          <w:sz w:val="22"/>
          <w:szCs w:val="22"/>
          <w:lang w:val="sr-Latn-CS"/>
        </w:rPr>
        <w:t>80</w:t>
      </w:r>
      <w:r w:rsidRPr="00F83B73">
        <w:rPr>
          <w:b/>
          <w:sz w:val="22"/>
          <w:szCs w:val="22"/>
          <w:lang w:val="sr-Latn-CS"/>
        </w:rPr>
        <w:t>:</w:t>
      </w:r>
    </w:p>
    <w:p w:rsidR="001F336A" w:rsidRDefault="001F336A" w:rsidP="00392088">
      <w:pPr>
        <w:ind w:firstLine="720"/>
        <w:rPr>
          <w:sz w:val="22"/>
          <w:szCs w:val="22"/>
          <w:lang w:val="sr-Latn-CS"/>
        </w:rPr>
      </w:pPr>
    </w:p>
    <w:p w:rsidR="004B398B" w:rsidRDefault="004B398B" w:rsidP="00261BDC">
      <w:pPr>
        <w:ind w:firstLine="720"/>
        <w:jc w:val="both"/>
        <w:rPr>
          <w:sz w:val="22"/>
          <w:szCs w:val="22"/>
          <w:lang w:val="sr-Latn-CS"/>
        </w:rPr>
      </w:pPr>
      <w:r>
        <w:rPr>
          <w:sz w:val="22"/>
          <w:szCs w:val="22"/>
          <w:lang w:val="sr-Latn-CS"/>
        </w:rPr>
        <w:t xml:space="preserve">U tenderskoj dokumentaciji u odeljku III je traženo da ponuđač raspolaže registrovanim skladištem na teritoriji Republike Srbije. Da li se registrovanim skladištem smatra skladište ponuđača za promet robe kojom se ponuđač bavi ili ste mislili na registrovano carinsko skladište ili skladište za posebne namene (medicinski materijal, hemikalije itd)? </w:t>
      </w:r>
    </w:p>
    <w:p w:rsidR="00F72830" w:rsidRDefault="00F72830" w:rsidP="001343EB">
      <w:pPr>
        <w:rPr>
          <w:sz w:val="22"/>
          <w:szCs w:val="22"/>
          <w:lang w:val="sr-Latn-CS"/>
        </w:rPr>
      </w:pPr>
    </w:p>
    <w:p w:rsidR="004B398B" w:rsidRPr="004B0255" w:rsidRDefault="004B398B" w:rsidP="004B0255">
      <w:pPr>
        <w:ind w:firstLine="720"/>
        <w:jc w:val="both"/>
        <w:rPr>
          <w:b/>
          <w:sz w:val="22"/>
          <w:szCs w:val="22"/>
          <w:lang w:val="sr-Latn-CS"/>
        </w:rPr>
      </w:pPr>
      <w:r>
        <w:rPr>
          <w:b/>
          <w:sz w:val="22"/>
          <w:szCs w:val="22"/>
          <w:lang w:val="sr-Latn-CS"/>
        </w:rPr>
        <w:t>Odgovor 80</w:t>
      </w:r>
      <w:r w:rsidRPr="00F83B73">
        <w:rPr>
          <w:b/>
          <w:sz w:val="22"/>
          <w:szCs w:val="22"/>
          <w:lang w:val="sr-Latn-CS"/>
        </w:rPr>
        <w:t>:</w:t>
      </w:r>
    </w:p>
    <w:p w:rsidR="004B398B" w:rsidRDefault="004B398B" w:rsidP="004B398B">
      <w:pPr>
        <w:rPr>
          <w:sz w:val="22"/>
          <w:szCs w:val="22"/>
          <w:lang w:val="sr-Latn-CS"/>
        </w:rPr>
      </w:pPr>
    </w:p>
    <w:p w:rsidR="00F72830" w:rsidRDefault="008A7980" w:rsidP="004B0255">
      <w:pPr>
        <w:tabs>
          <w:tab w:val="left" w:pos="1037"/>
        </w:tabs>
        <w:jc w:val="both"/>
        <w:rPr>
          <w:sz w:val="22"/>
          <w:szCs w:val="22"/>
          <w:lang w:val="sr-Latn-CS"/>
        </w:rPr>
      </w:pPr>
      <w:r>
        <w:rPr>
          <w:sz w:val="22"/>
          <w:szCs w:val="22"/>
          <w:lang w:val="sr-Latn-CS"/>
        </w:rPr>
        <w:t xml:space="preserve">             </w:t>
      </w:r>
      <w:r w:rsidR="004B398B">
        <w:rPr>
          <w:sz w:val="22"/>
          <w:szCs w:val="22"/>
          <w:lang w:val="sr-Latn-CS"/>
        </w:rPr>
        <w:t>Pod registrovanim skladištem na teritoriji Republike Srbije kao uslovom</w:t>
      </w:r>
      <w:r w:rsidR="00F72830" w:rsidRPr="00F72830">
        <w:rPr>
          <w:sz w:val="22"/>
          <w:szCs w:val="22"/>
          <w:lang w:val="sr-Latn-CS"/>
        </w:rPr>
        <w:t xml:space="preserve"> </w:t>
      </w:r>
      <w:r w:rsidR="00F72830">
        <w:rPr>
          <w:sz w:val="22"/>
          <w:szCs w:val="22"/>
          <w:lang w:val="sr-Latn-CS"/>
        </w:rPr>
        <w:t>Tenderske dokumentacije</w:t>
      </w:r>
      <w:r w:rsidR="004B398B">
        <w:rPr>
          <w:sz w:val="22"/>
          <w:szCs w:val="22"/>
          <w:lang w:val="sr-Latn-CS"/>
        </w:rPr>
        <w:t xml:space="preserve"> koji se odnosi na poslovnu sposobnost ponuđača</w:t>
      </w:r>
      <w:r w:rsidR="00F72830">
        <w:rPr>
          <w:sz w:val="22"/>
          <w:szCs w:val="22"/>
          <w:lang w:val="sr-Latn-CS"/>
        </w:rPr>
        <w:t>,</w:t>
      </w:r>
      <w:r w:rsidR="004B398B">
        <w:rPr>
          <w:sz w:val="22"/>
          <w:szCs w:val="22"/>
          <w:lang w:val="sr-Latn-CS"/>
        </w:rPr>
        <w:t xml:space="preserve"> podrazumeva se skladište za promet predmetne robe.</w:t>
      </w:r>
    </w:p>
    <w:p w:rsidR="00F72830" w:rsidRPr="00F72830" w:rsidRDefault="00F72830" w:rsidP="00F72830">
      <w:pPr>
        <w:rPr>
          <w:sz w:val="22"/>
          <w:szCs w:val="22"/>
          <w:lang w:val="sr-Latn-CS"/>
        </w:rPr>
      </w:pPr>
    </w:p>
    <w:p w:rsidR="00F72830" w:rsidRDefault="00F72830" w:rsidP="00F72830">
      <w:pPr>
        <w:rPr>
          <w:sz w:val="22"/>
          <w:szCs w:val="22"/>
          <w:lang w:val="sr-Latn-CS"/>
        </w:rPr>
      </w:pPr>
    </w:p>
    <w:p w:rsidR="00F72830" w:rsidRDefault="00F72830" w:rsidP="00F72830">
      <w:pPr>
        <w:ind w:firstLine="720"/>
        <w:jc w:val="both"/>
        <w:rPr>
          <w:b/>
          <w:sz w:val="22"/>
          <w:szCs w:val="22"/>
          <w:lang w:val="sr-Latn-CS"/>
        </w:rPr>
      </w:pPr>
      <w:r w:rsidRPr="00F83B73">
        <w:rPr>
          <w:b/>
          <w:sz w:val="22"/>
          <w:szCs w:val="22"/>
          <w:lang w:val="sr-Latn-CS"/>
        </w:rPr>
        <w:t xml:space="preserve">Pitanje </w:t>
      </w:r>
      <w:r>
        <w:rPr>
          <w:b/>
          <w:sz w:val="22"/>
          <w:szCs w:val="22"/>
          <w:lang w:val="sr-Latn-CS"/>
        </w:rPr>
        <w:t>81</w:t>
      </w:r>
      <w:r w:rsidRPr="00F83B73">
        <w:rPr>
          <w:b/>
          <w:sz w:val="22"/>
          <w:szCs w:val="22"/>
          <w:lang w:val="sr-Latn-CS"/>
        </w:rPr>
        <w:t>:</w:t>
      </w:r>
    </w:p>
    <w:p w:rsidR="00164A30" w:rsidRDefault="00164A30" w:rsidP="00F72830">
      <w:pPr>
        <w:ind w:firstLine="720"/>
        <w:jc w:val="both"/>
        <w:rPr>
          <w:b/>
          <w:sz w:val="22"/>
          <w:szCs w:val="22"/>
          <w:lang w:val="sr-Latn-CS"/>
        </w:rPr>
      </w:pPr>
    </w:p>
    <w:p w:rsidR="00164A30" w:rsidRDefault="008A7980" w:rsidP="00F72830">
      <w:pPr>
        <w:tabs>
          <w:tab w:val="left" w:pos="922"/>
        </w:tabs>
        <w:rPr>
          <w:sz w:val="22"/>
          <w:szCs w:val="22"/>
          <w:lang w:val="sr-Latn-CS"/>
        </w:rPr>
      </w:pPr>
      <w:r>
        <w:rPr>
          <w:sz w:val="22"/>
          <w:szCs w:val="22"/>
          <w:lang w:val="sr-Latn-CS"/>
        </w:rPr>
        <w:t xml:space="preserve">             </w:t>
      </w:r>
      <w:r w:rsidR="00F72830">
        <w:rPr>
          <w:sz w:val="22"/>
          <w:szCs w:val="22"/>
          <w:lang w:val="sr-Latn-CS"/>
        </w:rPr>
        <w:t>U UP stav 4.3 navedeno je da „Ponuđač za koga je banka izjavila da je nepodoban, u skladu sa uputstvom UP klauzula 3, na dan dodele ugovora, biće diskvalifikovan.” Na koji način se dokazuje da li je ponuđač podoban, da li je potrebno dostaviti potvrdu od banke ili....?</w:t>
      </w:r>
    </w:p>
    <w:p w:rsidR="00F72830" w:rsidRDefault="00F72830" w:rsidP="00F72830">
      <w:pPr>
        <w:rPr>
          <w:sz w:val="22"/>
          <w:szCs w:val="22"/>
          <w:lang w:val="sr-Latn-CS"/>
        </w:rPr>
      </w:pPr>
    </w:p>
    <w:p w:rsidR="004B398B" w:rsidRDefault="00164A30" w:rsidP="00F72830">
      <w:pPr>
        <w:tabs>
          <w:tab w:val="left" w:pos="1405"/>
        </w:tabs>
        <w:rPr>
          <w:b/>
          <w:sz w:val="22"/>
          <w:szCs w:val="22"/>
          <w:lang w:val="sr-Latn-CS"/>
        </w:rPr>
      </w:pPr>
      <w:r>
        <w:rPr>
          <w:sz w:val="22"/>
          <w:szCs w:val="22"/>
          <w:lang w:val="sr-Latn-CS"/>
        </w:rPr>
        <w:t xml:space="preserve">              </w:t>
      </w:r>
      <w:r w:rsidR="00F72830">
        <w:rPr>
          <w:b/>
          <w:sz w:val="22"/>
          <w:szCs w:val="22"/>
          <w:lang w:val="sr-Latn-CS"/>
        </w:rPr>
        <w:t>Odgovor 81:</w:t>
      </w:r>
    </w:p>
    <w:p w:rsidR="00F72830" w:rsidRDefault="00F72830" w:rsidP="00F72830">
      <w:pPr>
        <w:tabs>
          <w:tab w:val="left" w:pos="1405"/>
        </w:tabs>
        <w:rPr>
          <w:b/>
          <w:sz w:val="22"/>
          <w:szCs w:val="22"/>
          <w:lang w:val="sr-Latn-CS"/>
        </w:rPr>
      </w:pPr>
    </w:p>
    <w:p w:rsidR="00104D62" w:rsidRDefault="008A7980" w:rsidP="00261BDC">
      <w:pPr>
        <w:pStyle w:val="BankNormal"/>
        <w:spacing w:after="120"/>
        <w:jc w:val="both"/>
        <w:rPr>
          <w:sz w:val="22"/>
          <w:szCs w:val="22"/>
        </w:rPr>
      </w:pPr>
      <w:r>
        <w:rPr>
          <w:sz w:val="22"/>
          <w:szCs w:val="22"/>
        </w:rPr>
        <w:t xml:space="preserve">             </w:t>
      </w:r>
      <w:r w:rsidR="0081569C">
        <w:rPr>
          <w:sz w:val="22"/>
          <w:szCs w:val="22"/>
        </w:rPr>
        <w:t>Ne, nije</w:t>
      </w:r>
      <w:r w:rsidR="0081569C" w:rsidRPr="0081569C">
        <w:rPr>
          <w:sz w:val="22"/>
          <w:szCs w:val="22"/>
        </w:rPr>
        <w:t xml:space="preserve"> </w:t>
      </w:r>
      <w:r w:rsidR="0081569C">
        <w:rPr>
          <w:sz w:val="22"/>
          <w:szCs w:val="22"/>
        </w:rPr>
        <w:t xml:space="preserve">potrebno dostaviti potvrdu banke. Naručilac će Izveštaj o nabavci dostaviti Evropskoj investicionoj banci </w:t>
      </w:r>
      <w:r w:rsidR="001343EB">
        <w:rPr>
          <w:sz w:val="22"/>
          <w:szCs w:val="22"/>
        </w:rPr>
        <w:t xml:space="preserve">(Zajmodavcu) radi pribavljanja </w:t>
      </w:r>
      <w:r w:rsidR="0081569C">
        <w:rPr>
          <w:sz w:val="22"/>
          <w:szCs w:val="22"/>
        </w:rPr>
        <w:t>saglasnosti, što podrazumeva i proveru podobnosti ponuđača.</w:t>
      </w:r>
    </w:p>
    <w:p w:rsidR="00104D62" w:rsidRDefault="00104D62" w:rsidP="00104D62">
      <w:pPr>
        <w:ind w:firstLine="720"/>
        <w:jc w:val="both"/>
        <w:rPr>
          <w:b/>
          <w:sz w:val="22"/>
          <w:szCs w:val="22"/>
          <w:lang w:val="sr-Latn-CS"/>
        </w:rPr>
      </w:pPr>
      <w:r w:rsidRPr="00CA1AC0">
        <w:rPr>
          <w:b/>
          <w:sz w:val="22"/>
          <w:szCs w:val="22"/>
          <w:lang w:val="sr-Latn-CS"/>
        </w:rPr>
        <w:t>Pitanje 82:</w:t>
      </w:r>
    </w:p>
    <w:p w:rsidR="00164A30" w:rsidRPr="00CA1AC0" w:rsidRDefault="00164A30" w:rsidP="00104D62">
      <w:pPr>
        <w:ind w:firstLine="720"/>
        <w:jc w:val="both"/>
        <w:rPr>
          <w:b/>
          <w:sz w:val="22"/>
          <w:szCs w:val="22"/>
          <w:lang w:val="sr-Latn-CS"/>
        </w:rPr>
      </w:pPr>
    </w:p>
    <w:p w:rsidR="00104D62" w:rsidRDefault="00104D62" w:rsidP="00164A30">
      <w:pPr>
        <w:ind w:firstLine="720"/>
        <w:jc w:val="both"/>
        <w:rPr>
          <w:sz w:val="22"/>
          <w:szCs w:val="22"/>
          <w:lang w:val="sr-Latn-CS"/>
        </w:rPr>
      </w:pPr>
      <w:r w:rsidRPr="00CA1AC0">
        <w:rPr>
          <w:sz w:val="22"/>
          <w:szCs w:val="22"/>
          <w:lang w:val="sr-Latn-CS"/>
        </w:rPr>
        <w:t>Ukoliko na teritoriji Republike  Srbije postoji ovlašćeni predstavnik proizvođača, da li je potrebno ovlašćenje od proizvođača robe koja se nudi na tenderu?</w:t>
      </w:r>
    </w:p>
    <w:p w:rsidR="00104D62" w:rsidRDefault="00104D62" w:rsidP="00104D62">
      <w:pPr>
        <w:rPr>
          <w:lang w:val="sr-Latn-CS"/>
        </w:rPr>
      </w:pPr>
    </w:p>
    <w:p w:rsidR="00F72830" w:rsidRDefault="00164A30" w:rsidP="00104D62">
      <w:pPr>
        <w:tabs>
          <w:tab w:val="left" w:pos="1336"/>
        </w:tabs>
        <w:rPr>
          <w:b/>
          <w:sz w:val="22"/>
          <w:szCs w:val="22"/>
          <w:lang w:val="sr-Latn-CS"/>
        </w:rPr>
      </w:pPr>
      <w:r>
        <w:rPr>
          <w:lang w:val="sr-Latn-CS"/>
        </w:rPr>
        <w:t xml:space="preserve">            </w:t>
      </w:r>
      <w:r w:rsidR="00104D62">
        <w:rPr>
          <w:b/>
          <w:sz w:val="22"/>
          <w:szCs w:val="22"/>
          <w:lang w:val="sr-Latn-CS"/>
        </w:rPr>
        <w:t>Odgovor 8</w:t>
      </w:r>
      <w:r w:rsidR="00CA1AC0">
        <w:rPr>
          <w:b/>
          <w:sz w:val="22"/>
          <w:szCs w:val="22"/>
          <w:lang w:val="sr-Latn-CS"/>
        </w:rPr>
        <w:t>2</w:t>
      </w:r>
      <w:r w:rsidR="00104D62">
        <w:rPr>
          <w:b/>
          <w:sz w:val="22"/>
          <w:szCs w:val="22"/>
          <w:lang w:val="sr-Latn-CS"/>
        </w:rPr>
        <w:t>:</w:t>
      </w:r>
    </w:p>
    <w:p w:rsidR="00164A30" w:rsidRDefault="00164A30" w:rsidP="00104D62">
      <w:pPr>
        <w:tabs>
          <w:tab w:val="left" w:pos="1336"/>
        </w:tabs>
        <w:rPr>
          <w:b/>
          <w:sz w:val="22"/>
          <w:szCs w:val="22"/>
          <w:lang w:val="sr-Latn-CS"/>
        </w:rPr>
      </w:pPr>
    </w:p>
    <w:p w:rsidR="00CA1AC0" w:rsidRPr="00CA1AC0" w:rsidRDefault="008A7980" w:rsidP="008A7980">
      <w:pPr>
        <w:tabs>
          <w:tab w:val="left" w:pos="1336"/>
        </w:tabs>
        <w:jc w:val="both"/>
        <w:rPr>
          <w:lang w:val="sr-Latn-CS"/>
        </w:rPr>
      </w:pPr>
      <w:r>
        <w:rPr>
          <w:sz w:val="22"/>
          <w:szCs w:val="22"/>
          <w:lang w:val="sr-Latn-CS"/>
        </w:rPr>
        <w:t xml:space="preserve">             </w:t>
      </w:r>
      <w:r w:rsidR="00CA1AC0" w:rsidRPr="00CA1AC0">
        <w:rPr>
          <w:sz w:val="22"/>
          <w:szCs w:val="22"/>
          <w:lang w:val="sr-Latn-CS"/>
        </w:rPr>
        <w:t xml:space="preserve">U navedenom slučaju, potrebno je dostaviti dokaz da je ponuđač ovlašćeni predstavnik </w:t>
      </w:r>
      <w:r w:rsidR="00CA1AC0">
        <w:rPr>
          <w:sz w:val="22"/>
          <w:szCs w:val="22"/>
          <w:lang w:val="sr-Latn-CS"/>
        </w:rPr>
        <w:t>proizvođača.</w:t>
      </w:r>
    </w:p>
    <w:sectPr w:rsidR="00CA1AC0" w:rsidRPr="00CA1AC0" w:rsidSect="008D4E13">
      <w:headerReference w:type="default" r:id="rId7"/>
      <w:footerReference w:type="default" r:id="rId8"/>
      <w:pgSz w:w="11909" w:h="16834" w:code="9"/>
      <w:pgMar w:top="768" w:right="1440" w:bottom="1440" w:left="1440" w:header="39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AFB" w:rsidRDefault="00685AFB">
      <w:r>
        <w:separator/>
      </w:r>
    </w:p>
  </w:endnote>
  <w:endnote w:type="continuationSeparator" w:id="1">
    <w:p w:rsidR="00685AFB" w:rsidRDefault="00685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Apple Braill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4A" w:rsidRDefault="00490C4A" w:rsidP="004E704B">
    <w:pPr>
      <w:pStyle w:val="Footer"/>
      <w:tabs>
        <w:tab w:val="clear" w:pos="4702"/>
        <w:tab w:val="clear" w:pos="9405"/>
        <w:tab w:val="left" w:pos="1325"/>
      </w:tabs>
    </w:pPr>
    <w:r>
      <w:tab/>
    </w:r>
  </w:p>
  <w:p w:rsidR="00490C4A" w:rsidRPr="00DC3E0D" w:rsidRDefault="00490C4A" w:rsidP="00572DA9">
    <w:pPr>
      <w:pStyle w:val="Footer"/>
      <w:ind w:left="-1134"/>
      <w:jc w:val="center"/>
      <w:rPr>
        <w:rFonts w:ascii="Arial" w:hAnsi="Arial" w:cs="Arial"/>
        <w:color w:val="808080"/>
        <w:sz w:val="16"/>
        <w:szCs w:val="16"/>
        <w:lang w:val="ru-RU"/>
      </w:rPr>
    </w:pPr>
    <w:r>
      <w:object w:dxaOrig="9198" w:dyaOrig="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8pt;height:2.9pt" o:ole="">
          <v:imagedata r:id="rId1" o:title=""/>
        </v:shape>
        <o:OLEObject Type="Embed" ProgID="Msxml2.SAXXMLReader.5.0" ShapeID="_x0000_i1025" DrawAspect="Content" ObjectID="_1387619564" r:id="rId2"/>
      </w:object>
    </w:r>
    <w:r>
      <w:tab/>
    </w:r>
    <w:r>
      <w:rPr>
        <w:rFonts w:ascii="Arial" w:hAnsi="Arial" w:cs="Arial"/>
        <w:color w:val="808080"/>
        <w:sz w:val="16"/>
        <w:szCs w:val="16"/>
      </w:rPr>
      <w:t xml:space="preserve">Друштво са ограниченом одговорношћу ЈУП </w:t>
    </w:r>
    <w:r>
      <w:rPr>
        <w:rFonts w:ascii="Arial" w:hAnsi="Arial" w:cs="Arial"/>
        <w:color w:val="808080"/>
        <w:sz w:val="16"/>
        <w:szCs w:val="16"/>
        <w:lang w:val="sr-Cyrl-CS"/>
      </w:rPr>
      <w:t>И</w:t>
    </w:r>
    <w:r>
      <w:rPr>
        <w:rFonts w:ascii="Arial" w:hAnsi="Arial" w:cs="Arial"/>
        <w:color w:val="808080"/>
        <w:sz w:val="16"/>
        <w:szCs w:val="16"/>
      </w:rPr>
      <w:t>страживање и развој Београд, Немањина 22-26</w:t>
    </w:r>
  </w:p>
  <w:p w:rsidR="00490C4A" w:rsidRPr="00DC3E0D"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 xml:space="preserve">Адреса: Немањина 22-26, Београд – Савски </w:t>
    </w:r>
    <w:r w:rsidRPr="0045035E">
      <w:rPr>
        <w:rFonts w:ascii="Arial" w:hAnsi="Arial" w:cs="Arial"/>
        <w:color w:val="808080"/>
        <w:sz w:val="16"/>
        <w:szCs w:val="16"/>
        <w:lang w:val="ru-RU"/>
      </w:rPr>
      <w:t>В</w:t>
    </w:r>
    <w:r>
      <w:rPr>
        <w:rFonts w:ascii="Arial" w:hAnsi="Arial" w:cs="Arial"/>
        <w:color w:val="808080"/>
        <w:sz w:val="16"/>
        <w:szCs w:val="16"/>
      </w:rPr>
      <w:t>енац</w:t>
    </w:r>
    <w:r w:rsidRPr="00DC3E0D">
      <w:rPr>
        <w:rFonts w:ascii="Arial" w:hAnsi="Arial" w:cs="Arial"/>
        <w:color w:val="808080"/>
        <w:sz w:val="16"/>
        <w:szCs w:val="16"/>
        <w:lang w:val="ru-RU"/>
      </w:rPr>
      <w:t xml:space="preserve">, </w:t>
    </w:r>
    <w:r>
      <w:rPr>
        <w:rFonts w:ascii="Arial" w:hAnsi="Arial" w:cs="Arial"/>
        <w:color w:val="808080"/>
        <w:sz w:val="16"/>
        <w:szCs w:val="16"/>
        <w:lang w:val="ru-RU"/>
      </w:rPr>
      <w:t>Србија</w:t>
    </w:r>
  </w:p>
  <w:p w:rsidR="00490C4A" w:rsidRPr="00442380" w:rsidRDefault="00490C4A" w:rsidP="00572DA9">
    <w:pPr>
      <w:pStyle w:val="Footer"/>
      <w:jc w:val="center"/>
      <w:rPr>
        <w:rFonts w:ascii="Arial" w:hAnsi="Arial" w:cs="Arial"/>
        <w:color w:val="808080"/>
        <w:sz w:val="16"/>
        <w:szCs w:val="16"/>
        <w:lang w:val="de-DE"/>
      </w:rPr>
    </w:pPr>
    <w:r>
      <w:rPr>
        <w:rFonts w:ascii="Arial" w:hAnsi="Arial" w:cs="Arial"/>
        <w:color w:val="808080"/>
        <w:sz w:val="16"/>
        <w:szCs w:val="16"/>
      </w:rPr>
      <w:t>Телефон</w:t>
    </w:r>
    <w:r>
      <w:rPr>
        <w:rFonts w:ascii="Arial" w:hAnsi="Arial" w:cs="Arial"/>
        <w:color w:val="808080"/>
        <w:sz w:val="16"/>
        <w:szCs w:val="16"/>
        <w:lang w:val="de-DE"/>
      </w:rPr>
      <w:t>.: (011) 3088 795</w:t>
    </w:r>
    <w:r w:rsidRPr="00442380">
      <w:rPr>
        <w:rFonts w:ascii="Arial" w:hAnsi="Arial" w:cs="Arial"/>
        <w:color w:val="808080"/>
        <w:sz w:val="16"/>
        <w:szCs w:val="16"/>
        <w:lang w:val="de-DE"/>
      </w:rPr>
      <w:t xml:space="preserve">, </w:t>
    </w:r>
    <w:r>
      <w:rPr>
        <w:rFonts w:ascii="Arial" w:hAnsi="Arial" w:cs="Arial"/>
        <w:color w:val="808080"/>
        <w:sz w:val="16"/>
        <w:szCs w:val="16"/>
        <w:lang w:val="de-DE"/>
      </w:rPr>
      <w:t xml:space="preserve">  </w:t>
    </w:r>
    <w:r>
      <w:rPr>
        <w:rFonts w:ascii="Arial" w:hAnsi="Arial" w:cs="Arial"/>
        <w:color w:val="808080"/>
        <w:sz w:val="16"/>
        <w:szCs w:val="16"/>
      </w:rPr>
      <w:t>Факс</w:t>
    </w:r>
    <w:r>
      <w:rPr>
        <w:rFonts w:ascii="Arial" w:hAnsi="Arial" w:cs="Arial"/>
        <w:color w:val="808080"/>
        <w:sz w:val="16"/>
        <w:szCs w:val="16"/>
        <w:lang w:val="de-DE"/>
      </w:rPr>
      <w:t>.: (011) 3088 653</w:t>
    </w:r>
    <w:r w:rsidRPr="00442380">
      <w:rPr>
        <w:rFonts w:ascii="Arial" w:hAnsi="Arial" w:cs="Arial"/>
        <w:color w:val="808080"/>
        <w:sz w:val="16"/>
        <w:szCs w:val="16"/>
        <w:lang w:val="de-DE"/>
      </w:rPr>
      <w:t>,</w:t>
    </w:r>
    <w:r>
      <w:rPr>
        <w:rFonts w:ascii="Arial" w:hAnsi="Arial" w:cs="Arial"/>
        <w:color w:val="808080"/>
        <w:sz w:val="16"/>
        <w:szCs w:val="16"/>
        <w:lang w:val="de-DE"/>
      </w:rPr>
      <w:t xml:space="preserve">   </w:t>
    </w:r>
    <w:r w:rsidRPr="00442380">
      <w:rPr>
        <w:rFonts w:ascii="Arial" w:hAnsi="Arial" w:cs="Arial"/>
        <w:color w:val="808080"/>
        <w:sz w:val="16"/>
        <w:szCs w:val="16"/>
        <w:lang w:val="de-DE"/>
      </w:rPr>
      <w:t xml:space="preserve">E-mail: </w:t>
    </w:r>
    <w:r>
      <w:rPr>
        <w:rFonts w:ascii="Arial" w:hAnsi="Arial" w:cs="Arial"/>
        <w:color w:val="808080"/>
        <w:sz w:val="16"/>
        <w:szCs w:val="16"/>
        <w:lang w:val="de-DE"/>
      </w:rPr>
      <w:t>office@piu</w:t>
    </w:r>
    <w:r w:rsidRPr="0045035E">
      <w:rPr>
        <w:rFonts w:ascii="Arial" w:hAnsi="Arial" w:cs="Arial"/>
        <w:color w:val="808080"/>
        <w:sz w:val="16"/>
        <w:szCs w:val="16"/>
        <w:lang w:val="de-DE"/>
      </w:rPr>
      <w:t>.rs</w:t>
    </w:r>
    <w:r>
      <w:rPr>
        <w:rFonts w:ascii="Arial" w:hAnsi="Arial" w:cs="Arial"/>
        <w:color w:val="808080"/>
        <w:sz w:val="16"/>
        <w:szCs w:val="16"/>
        <w:lang w:val="de-DE"/>
      </w:rPr>
      <w:t xml:space="preserve">   </w:t>
    </w:r>
    <w:r w:rsidRPr="00442380">
      <w:rPr>
        <w:rFonts w:ascii="Arial" w:hAnsi="Arial" w:cs="Arial"/>
        <w:color w:val="808080"/>
        <w:sz w:val="16"/>
        <w:szCs w:val="16"/>
        <w:lang w:val="de-DE"/>
      </w:rPr>
      <w:t>Website: www.</w:t>
    </w:r>
    <w:r>
      <w:rPr>
        <w:rFonts w:ascii="Arial" w:hAnsi="Arial" w:cs="Arial"/>
        <w:color w:val="808080"/>
        <w:sz w:val="16"/>
        <w:szCs w:val="16"/>
        <w:lang w:val="de-DE"/>
      </w:rPr>
      <w:t>piu</w:t>
    </w:r>
    <w:r w:rsidRPr="00442380">
      <w:rPr>
        <w:rFonts w:ascii="Arial" w:hAnsi="Arial" w:cs="Arial"/>
        <w:color w:val="808080"/>
        <w:sz w:val="16"/>
        <w:szCs w:val="16"/>
        <w:lang w:val="de-DE"/>
      </w:rPr>
      <w:t>.rs</w:t>
    </w:r>
  </w:p>
  <w:p w:rsidR="00490C4A" w:rsidRPr="00DC3E0D"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Број регистрације</w:t>
    </w:r>
    <w:r w:rsidRPr="00DC3E0D">
      <w:rPr>
        <w:rFonts w:ascii="Arial" w:hAnsi="Arial" w:cs="Arial"/>
        <w:color w:val="808080"/>
        <w:sz w:val="16"/>
        <w:szCs w:val="16"/>
        <w:lang w:val="ru-RU"/>
      </w:rPr>
      <w:t xml:space="preserve">: БД 87134/2010, </w:t>
    </w:r>
    <w:r>
      <w:rPr>
        <w:rFonts w:ascii="Arial" w:hAnsi="Arial" w:cs="Arial"/>
        <w:color w:val="808080"/>
        <w:sz w:val="16"/>
        <w:szCs w:val="16"/>
        <w:lang w:val="ru-RU"/>
      </w:rPr>
      <w:t>Регистар привредних субјеката</w:t>
    </w:r>
    <w:r w:rsidRPr="00DC3E0D">
      <w:rPr>
        <w:rFonts w:ascii="Arial" w:hAnsi="Arial" w:cs="Arial"/>
        <w:color w:val="808080"/>
        <w:sz w:val="16"/>
        <w:szCs w:val="16"/>
        <w:lang w:val="ru-RU"/>
      </w:rPr>
      <w:t xml:space="preserve">, </w:t>
    </w:r>
    <w:r>
      <w:rPr>
        <w:rFonts w:ascii="Arial" w:hAnsi="Arial" w:cs="Arial"/>
        <w:color w:val="808080"/>
        <w:sz w:val="16"/>
        <w:szCs w:val="16"/>
        <w:lang w:val="ru-RU"/>
      </w:rPr>
      <w:t>Агенција за привредне регистре Републике Србије</w:t>
    </w:r>
    <w:r w:rsidRPr="00DC3E0D">
      <w:rPr>
        <w:rFonts w:ascii="Arial" w:hAnsi="Arial" w:cs="Arial"/>
        <w:color w:val="808080"/>
        <w:sz w:val="16"/>
        <w:szCs w:val="16"/>
        <w:lang w:val="ru-RU"/>
      </w:rPr>
      <w:t>;</w:t>
    </w:r>
  </w:p>
  <w:p w:rsidR="00490C4A"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Матични број</w:t>
    </w:r>
    <w:r w:rsidRPr="00DC3E0D">
      <w:rPr>
        <w:rFonts w:ascii="Arial" w:hAnsi="Arial" w:cs="Arial"/>
        <w:color w:val="808080"/>
        <w:sz w:val="16"/>
        <w:szCs w:val="16"/>
        <w:lang w:val="ru-RU"/>
      </w:rPr>
      <w:t>: 20668890;</w:t>
    </w:r>
  </w:p>
  <w:p w:rsidR="00490C4A" w:rsidRPr="00DC3E0D"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ПИБ</w:t>
    </w:r>
    <w:r w:rsidRPr="00DC3E0D">
      <w:rPr>
        <w:rFonts w:ascii="Arial" w:hAnsi="Arial" w:cs="Arial"/>
        <w:color w:val="808080"/>
        <w:sz w:val="16"/>
        <w:szCs w:val="16"/>
        <w:lang w:val="ru-RU"/>
      </w:rPr>
      <w:t>: 106729004</w:t>
    </w:r>
  </w:p>
  <w:p w:rsidR="00490C4A" w:rsidRPr="00090670" w:rsidRDefault="00490C4A" w:rsidP="00572DA9">
    <w:pPr>
      <w:pStyle w:val="Footer"/>
      <w:jc w:val="center"/>
      <w:rPr>
        <w:rFonts w:ascii="Arial" w:hAnsi="Arial" w:cs="Arial"/>
        <w:color w:val="808080"/>
        <w:sz w:val="16"/>
        <w:szCs w:val="16"/>
      </w:rPr>
    </w:pPr>
    <w:r>
      <w:rPr>
        <w:rFonts w:ascii="Arial" w:hAnsi="Arial" w:cs="Arial"/>
        <w:color w:val="808080"/>
        <w:sz w:val="16"/>
        <w:szCs w:val="16"/>
      </w:rPr>
      <w:t>Текући рачуни</w:t>
    </w:r>
    <w:r w:rsidRPr="00DC3E0D">
      <w:rPr>
        <w:rFonts w:ascii="Arial" w:hAnsi="Arial" w:cs="Arial"/>
        <w:color w:val="808080"/>
        <w:sz w:val="16"/>
        <w:szCs w:val="16"/>
        <w:lang w:val="ru-RU"/>
      </w:rPr>
      <w:t>:</w:t>
    </w:r>
    <w:r>
      <w:rPr>
        <w:rFonts w:ascii="Arial" w:hAnsi="Arial" w:cs="Arial"/>
        <w:color w:val="808080"/>
        <w:sz w:val="16"/>
        <w:szCs w:val="16"/>
        <w:lang w:val="sr-Latn-CS"/>
      </w:rPr>
      <w:t xml:space="preserve"> </w:t>
    </w:r>
    <w:r>
      <w:rPr>
        <w:rFonts w:ascii="Arial" w:hAnsi="Arial" w:cs="Arial"/>
        <w:color w:val="808080"/>
        <w:sz w:val="16"/>
        <w:szCs w:val="16"/>
      </w:rPr>
      <w:t xml:space="preserve">285-1001000000216-50; 285-1001000000217-47; 285-1001000000218-44; </w:t>
    </w:r>
    <w:r>
      <w:rPr>
        <w:rFonts w:ascii="Arial" w:hAnsi="Arial" w:cs="Arial"/>
        <w:color w:val="808080"/>
        <w:sz w:val="16"/>
        <w:szCs w:val="16"/>
        <w:lang w:val="sr-Latn-CS"/>
      </w:rPr>
      <w:t>205-160097-44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AFB" w:rsidRDefault="00685AFB">
      <w:r>
        <w:separator/>
      </w:r>
    </w:p>
  </w:footnote>
  <w:footnote w:type="continuationSeparator" w:id="1">
    <w:p w:rsidR="00685AFB" w:rsidRDefault="0068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4A" w:rsidRPr="008359E1" w:rsidRDefault="00490C4A" w:rsidP="008359E1">
    <w:pPr>
      <w:spacing w:after="60"/>
      <w:rPr>
        <w:b/>
        <w:bCs/>
        <w:sz w:val="6"/>
        <w:szCs w:val="6"/>
        <w:lang w:val="sr-Cyrl-CS"/>
      </w:rPr>
    </w:pPr>
  </w:p>
  <w:p w:rsidR="00490C4A" w:rsidRPr="008D4E13" w:rsidRDefault="0049492C" w:rsidP="008D4E13">
    <w:pPr>
      <w:ind w:left="709" w:right="-469"/>
      <w:rPr>
        <w:rFonts w:ascii="Arial" w:hAnsi="Arial" w:cs="Arial"/>
        <w:sz w:val="44"/>
        <w:szCs w:val="44"/>
      </w:rPr>
    </w:pPr>
    <w:r>
      <w:rPr>
        <w:noProof/>
      </w:rPr>
      <w:drawing>
        <wp:anchor distT="0" distB="0" distL="114300" distR="114300" simplePos="0" relativeHeight="251657728" behindDoc="1" locked="0" layoutInCell="1" allowOverlap="1">
          <wp:simplePos x="0" y="0"/>
          <wp:positionH relativeFrom="column">
            <wp:posOffset>-607060</wp:posOffset>
          </wp:positionH>
          <wp:positionV relativeFrom="paragraph">
            <wp:posOffset>3810</wp:posOffset>
          </wp:positionV>
          <wp:extent cx="4921250" cy="986790"/>
          <wp:effectExtent l="19050" t="0" r="0" b="0"/>
          <wp:wrapTight wrapText="bothSides">
            <wp:wrapPolygon edited="0">
              <wp:start x="-84" y="0"/>
              <wp:lineTo x="-84" y="21266"/>
              <wp:lineTo x="21572" y="21266"/>
              <wp:lineTo x="21572" y="0"/>
              <wp:lineTo x="-84"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4921250" cy="986790"/>
                  </a:xfrm>
                  <a:prstGeom prst="rect">
                    <a:avLst/>
                  </a:prstGeom>
                  <a:noFill/>
                </pic:spPr>
              </pic:pic>
            </a:graphicData>
          </a:graphic>
        </wp:anchor>
      </w:drawing>
    </w:r>
  </w:p>
  <w:p w:rsidR="00490C4A" w:rsidRPr="008359E1" w:rsidRDefault="00490C4A" w:rsidP="00DE12FA">
    <w:pPr>
      <w:rPr>
        <w:sz w:val="4"/>
        <w:szCs w:val="4"/>
        <w:lang w:val="ru-RU"/>
      </w:rPr>
    </w:pPr>
  </w:p>
  <w:p w:rsidR="00490C4A" w:rsidRPr="00FE73DE" w:rsidRDefault="00490C4A" w:rsidP="003D2B07">
    <w:pPr>
      <w:rPr>
        <w:b/>
        <w:bCs/>
        <w:sz w:val="16"/>
        <w:szCs w:val="16"/>
      </w:rPr>
    </w:pPr>
  </w:p>
  <w:p w:rsidR="00490C4A" w:rsidRPr="00A62847" w:rsidRDefault="00490C4A" w:rsidP="009A0D9F">
    <w:pPr>
      <w:ind w:left="-1134" w:right="-894"/>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cs="Symbol" w:hint="default"/>
      </w:rPr>
    </w:lvl>
  </w:abstractNum>
  <w:abstractNum w:abstractNumId="10">
    <w:nsid w:val="006C5946"/>
    <w:multiLevelType w:val="hybridMultilevel"/>
    <w:tmpl w:val="15863A86"/>
    <w:lvl w:ilvl="0" w:tplc="B02AB5AE">
      <w:start w:val="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2F64232"/>
    <w:multiLevelType w:val="hybridMultilevel"/>
    <w:tmpl w:val="E746EEFA"/>
    <w:lvl w:ilvl="0" w:tplc="67FEF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B3281D"/>
    <w:multiLevelType w:val="hybridMultilevel"/>
    <w:tmpl w:val="0BC03E2A"/>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3">
    <w:nsid w:val="0770771F"/>
    <w:multiLevelType w:val="hybridMultilevel"/>
    <w:tmpl w:val="763AFF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5">
    <w:nsid w:val="10D02788"/>
    <w:multiLevelType w:val="hybridMultilevel"/>
    <w:tmpl w:val="EDD4758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7">
    <w:nsid w:val="29671A27"/>
    <w:multiLevelType w:val="hybridMultilevel"/>
    <w:tmpl w:val="1A267F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334F1B09"/>
    <w:multiLevelType w:val="hybridMultilevel"/>
    <w:tmpl w:val="AD2623D0"/>
    <w:lvl w:ilvl="0" w:tplc="D9CCF7B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D83E8D"/>
    <w:multiLevelType w:val="multilevel"/>
    <w:tmpl w:val="EB967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A0362B"/>
    <w:multiLevelType w:val="hybridMultilevel"/>
    <w:tmpl w:val="7FDA5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2963709"/>
    <w:multiLevelType w:val="hybridMultilevel"/>
    <w:tmpl w:val="5EC06594"/>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880" w:hanging="360"/>
      </w:pPr>
    </w:lvl>
    <w:lvl w:ilvl="2" w:tplc="081A001B" w:tentative="1">
      <w:start w:val="1"/>
      <w:numFmt w:val="lowerRoman"/>
      <w:lvlText w:val="%3."/>
      <w:lvlJc w:val="right"/>
      <w:pPr>
        <w:ind w:left="3600" w:hanging="180"/>
      </w:pPr>
    </w:lvl>
    <w:lvl w:ilvl="3" w:tplc="081A000F" w:tentative="1">
      <w:start w:val="1"/>
      <w:numFmt w:val="decimal"/>
      <w:lvlText w:val="%4."/>
      <w:lvlJc w:val="left"/>
      <w:pPr>
        <w:ind w:left="4320" w:hanging="360"/>
      </w:pPr>
    </w:lvl>
    <w:lvl w:ilvl="4" w:tplc="081A0019" w:tentative="1">
      <w:start w:val="1"/>
      <w:numFmt w:val="lowerLetter"/>
      <w:lvlText w:val="%5."/>
      <w:lvlJc w:val="left"/>
      <w:pPr>
        <w:ind w:left="5040" w:hanging="360"/>
      </w:pPr>
    </w:lvl>
    <w:lvl w:ilvl="5" w:tplc="081A001B" w:tentative="1">
      <w:start w:val="1"/>
      <w:numFmt w:val="lowerRoman"/>
      <w:lvlText w:val="%6."/>
      <w:lvlJc w:val="right"/>
      <w:pPr>
        <w:ind w:left="5760" w:hanging="180"/>
      </w:pPr>
    </w:lvl>
    <w:lvl w:ilvl="6" w:tplc="081A000F" w:tentative="1">
      <w:start w:val="1"/>
      <w:numFmt w:val="decimal"/>
      <w:lvlText w:val="%7."/>
      <w:lvlJc w:val="left"/>
      <w:pPr>
        <w:ind w:left="6480" w:hanging="360"/>
      </w:pPr>
    </w:lvl>
    <w:lvl w:ilvl="7" w:tplc="081A0019" w:tentative="1">
      <w:start w:val="1"/>
      <w:numFmt w:val="lowerLetter"/>
      <w:lvlText w:val="%8."/>
      <w:lvlJc w:val="left"/>
      <w:pPr>
        <w:ind w:left="7200" w:hanging="360"/>
      </w:pPr>
    </w:lvl>
    <w:lvl w:ilvl="8" w:tplc="081A001B" w:tentative="1">
      <w:start w:val="1"/>
      <w:numFmt w:val="lowerRoman"/>
      <w:lvlText w:val="%9."/>
      <w:lvlJc w:val="right"/>
      <w:pPr>
        <w:ind w:left="7920" w:hanging="180"/>
      </w:pPr>
    </w:lvl>
  </w:abstractNum>
  <w:abstractNum w:abstractNumId="24">
    <w:nsid w:val="44B93BD1"/>
    <w:multiLevelType w:val="hybridMultilevel"/>
    <w:tmpl w:val="D7FCA0C8"/>
    <w:lvl w:ilvl="0" w:tplc="4006A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243408"/>
    <w:multiLevelType w:val="hybridMultilevel"/>
    <w:tmpl w:val="CA023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8C5722"/>
    <w:multiLevelType w:val="hybridMultilevel"/>
    <w:tmpl w:val="FE4415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9">
    <w:nsid w:val="684A2718"/>
    <w:multiLevelType w:val="hybridMultilevel"/>
    <w:tmpl w:val="6436085A"/>
    <w:lvl w:ilvl="0" w:tplc="B7CCBB2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1F7F31"/>
    <w:multiLevelType w:val="hybridMultilevel"/>
    <w:tmpl w:val="B54CD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33">
    <w:nsid w:val="78650230"/>
    <w:multiLevelType w:val="hybridMultilevel"/>
    <w:tmpl w:val="206E8A92"/>
    <w:lvl w:ilvl="0" w:tplc="08A88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01ED6"/>
    <w:multiLevelType w:val="hybridMultilevel"/>
    <w:tmpl w:val="484E2C4C"/>
    <w:lvl w:ilvl="0" w:tplc="B02AB5A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7"/>
  </w:num>
  <w:num w:numId="15">
    <w:abstractNumId w:val="27"/>
  </w:num>
  <w:num w:numId="16">
    <w:abstractNumId w:val="12"/>
  </w:num>
  <w:num w:numId="17">
    <w:abstractNumId w:val="32"/>
  </w:num>
  <w:num w:numId="18">
    <w:abstractNumId w:val="23"/>
  </w:num>
  <w:num w:numId="19">
    <w:abstractNumId w:val="11"/>
  </w:num>
  <w:num w:numId="20">
    <w:abstractNumId w:val="30"/>
  </w:num>
  <w:num w:numId="21">
    <w:abstractNumId w:val="20"/>
  </w:num>
  <w:num w:numId="22">
    <w:abstractNumId w:val="25"/>
  </w:num>
  <w:num w:numId="23">
    <w:abstractNumId w:val="14"/>
  </w:num>
  <w:num w:numId="24">
    <w:abstractNumId w:val="34"/>
  </w:num>
  <w:num w:numId="25">
    <w:abstractNumId w:val="24"/>
  </w:num>
  <w:num w:numId="26">
    <w:abstractNumId w:val="10"/>
  </w:num>
  <w:num w:numId="27">
    <w:abstractNumId w:val="1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5"/>
  </w:num>
  <w:num w:numId="32">
    <w:abstractNumId w:val="29"/>
  </w:num>
  <w:num w:numId="33">
    <w:abstractNumId w:val="33"/>
  </w:num>
  <w:num w:numId="34">
    <w:abstractNumId w:val="31"/>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128002"/>
  </w:hdrShapeDefaults>
  <w:footnotePr>
    <w:footnote w:id="0"/>
    <w:footnote w:id="1"/>
  </w:footnotePr>
  <w:endnotePr>
    <w:endnote w:id="0"/>
    <w:endnote w:id="1"/>
  </w:endnotePr>
  <w:compat/>
  <w:rsids>
    <w:rsidRoot w:val="00D20D77"/>
    <w:rsid w:val="000023C9"/>
    <w:rsid w:val="000074CB"/>
    <w:rsid w:val="0001010B"/>
    <w:rsid w:val="0001444F"/>
    <w:rsid w:val="000304E3"/>
    <w:rsid w:val="00031F07"/>
    <w:rsid w:val="0003764A"/>
    <w:rsid w:val="000408C2"/>
    <w:rsid w:val="00040C5B"/>
    <w:rsid w:val="00040E37"/>
    <w:rsid w:val="000559DC"/>
    <w:rsid w:val="000613AC"/>
    <w:rsid w:val="00063299"/>
    <w:rsid w:val="00071AD4"/>
    <w:rsid w:val="00074486"/>
    <w:rsid w:val="00075114"/>
    <w:rsid w:val="000800B3"/>
    <w:rsid w:val="00086EEC"/>
    <w:rsid w:val="00090670"/>
    <w:rsid w:val="00094BDB"/>
    <w:rsid w:val="00095DD8"/>
    <w:rsid w:val="000A01D8"/>
    <w:rsid w:val="000A17B9"/>
    <w:rsid w:val="000A46A0"/>
    <w:rsid w:val="000A4A88"/>
    <w:rsid w:val="000A50DB"/>
    <w:rsid w:val="000B6F66"/>
    <w:rsid w:val="000C0874"/>
    <w:rsid w:val="000C3425"/>
    <w:rsid w:val="000C3C93"/>
    <w:rsid w:val="000D15DB"/>
    <w:rsid w:val="000D3FF0"/>
    <w:rsid w:val="000E07E5"/>
    <w:rsid w:val="000E15F9"/>
    <w:rsid w:val="000E36CF"/>
    <w:rsid w:val="000E38E8"/>
    <w:rsid w:val="000F0BED"/>
    <w:rsid w:val="000F2F63"/>
    <w:rsid w:val="000F5D2A"/>
    <w:rsid w:val="00104113"/>
    <w:rsid w:val="00104D62"/>
    <w:rsid w:val="001058CE"/>
    <w:rsid w:val="001063A5"/>
    <w:rsid w:val="00121620"/>
    <w:rsid w:val="00126B7D"/>
    <w:rsid w:val="001343EB"/>
    <w:rsid w:val="0013685C"/>
    <w:rsid w:val="00144782"/>
    <w:rsid w:val="00144FAF"/>
    <w:rsid w:val="00145884"/>
    <w:rsid w:val="00145A59"/>
    <w:rsid w:val="00155915"/>
    <w:rsid w:val="00156F2C"/>
    <w:rsid w:val="00161D62"/>
    <w:rsid w:val="00162FFE"/>
    <w:rsid w:val="00163BC9"/>
    <w:rsid w:val="001642AC"/>
    <w:rsid w:val="00164A30"/>
    <w:rsid w:val="00166094"/>
    <w:rsid w:val="0016611B"/>
    <w:rsid w:val="0017379F"/>
    <w:rsid w:val="00180895"/>
    <w:rsid w:val="001819F6"/>
    <w:rsid w:val="00185A24"/>
    <w:rsid w:val="001874EE"/>
    <w:rsid w:val="00191EE7"/>
    <w:rsid w:val="001A1BAD"/>
    <w:rsid w:val="001A5856"/>
    <w:rsid w:val="001A6BDD"/>
    <w:rsid w:val="001B30FE"/>
    <w:rsid w:val="001B4014"/>
    <w:rsid w:val="001B41F2"/>
    <w:rsid w:val="001C1207"/>
    <w:rsid w:val="001C464F"/>
    <w:rsid w:val="001D3059"/>
    <w:rsid w:val="001E4640"/>
    <w:rsid w:val="001E643C"/>
    <w:rsid w:val="001E6571"/>
    <w:rsid w:val="001F2973"/>
    <w:rsid w:val="001F336A"/>
    <w:rsid w:val="00205637"/>
    <w:rsid w:val="00215583"/>
    <w:rsid w:val="002159E7"/>
    <w:rsid w:val="00217B70"/>
    <w:rsid w:val="00220207"/>
    <w:rsid w:val="002224FF"/>
    <w:rsid w:val="0022407C"/>
    <w:rsid w:val="00224787"/>
    <w:rsid w:val="00226922"/>
    <w:rsid w:val="00230529"/>
    <w:rsid w:val="002338BC"/>
    <w:rsid w:val="002348B6"/>
    <w:rsid w:val="00235539"/>
    <w:rsid w:val="002409BC"/>
    <w:rsid w:val="00243B45"/>
    <w:rsid w:val="00243CC0"/>
    <w:rsid w:val="00245175"/>
    <w:rsid w:val="00245658"/>
    <w:rsid w:val="0024584D"/>
    <w:rsid w:val="00261BDC"/>
    <w:rsid w:val="00264257"/>
    <w:rsid w:val="00264C34"/>
    <w:rsid w:val="0026602E"/>
    <w:rsid w:val="002715D4"/>
    <w:rsid w:val="00271F0A"/>
    <w:rsid w:val="002729E5"/>
    <w:rsid w:val="00276AD2"/>
    <w:rsid w:val="00280599"/>
    <w:rsid w:val="00283F98"/>
    <w:rsid w:val="00286EF9"/>
    <w:rsid w:val="00291352"/>
    <w:rsid w:val="002924B6"/>
    <w:rsid w:val="002935EE"/>
    <w:rsid w:val="002A1E36"/>
    <w:rsid w:val="002A29AE"/>
    <w:rsid w:val="002A5612"/>
    <w:rsid w:val="002A6AC7"/>
    <w:rsid w:val="002B6A37"/>
    <w:rsid w:val="002B72DA"/>
    <w:rsid w:val="002C1487"/>
    <w:rsid w:val="002C2F72"/>
    <w:rsid w:val="002C33D9"/>
    <w:rsid w:val="002C4EE3"/>
    <w:rsid w:val="002C62F2"/>
    <w:rsid w:val="002D0120"/>
    <w:rsid w:val="002D3304"/>
    <w:rsid w:val="002D6566"/>
    <w:rsid w:val="002E5FD7"/>
    <w:rsid w:val="002F1FC7"/>
    <w:rsid w:val="002F2E60"/>
    <w:rsid w:val="002F75F8"/>
    <w:rsid w:val="00300799"/>
    <w:rsid w:val="0030699D"/>
    <w:rsid w:val="0030764D"/>
    <w:rsid w:val="00310927"/>
    <w:rsid w:val="00310DC8"/>
    <w:rsid w:val="00313122"/>
    <w:rsid w:val="003242F7"/>
    <w:rsid w:val="0033519A"/>
    <w:rsid w:val="00335E19"/>
    <w:rsid w:val="00340DC6"/>
    <w:rsid w:val="00345D2A"/>
    <w:rsid w:val="00345F26"/>
    <w:rsid w:val="0034619B"/>
    <w:rsid w:val="003504CB"/>
    <w:rsid w:val="00352C28"/>
    <w:rsid w:val="003643D0"/>
    <w:rsid w:val="003671C1"/>
    <w:rsid w:val="00367ABA"/>
    <w:rsid w:val="00370A71"/>
    <w:rsid w:val="00374BAD"/>
    <w:rsid w:val="003753D9"/>
    <w:rsid w:val="00383860"/>
    <w:rsid w:val="00390149"/>
    <w:rsid w:val="00391A81"/>
    <w:rsid w:val="00392088"/>
    <w:rsid w:val="00395854"/>
    <w:rsid w:val="003965F6"/>
    <w:rsid w:val="0039663A"/>
    <w:rsid w:val="003A6008"/>
    <w:rsid w:val="003B01C0"/>
    <w:rsid w:val="003B2383"/>
    <w:rsid w:val="003B42B5"/>
    <w:rsid w:val="003B61EC"/>
    <w:rsid w:val="003B6E76"/>
    <w:rsid w:val="003B735A"/>
    <w:rsid w:val="003B73F4"/>
    <w:rsid w:val="003C0C68"/>
    <w:rsid w:val="003C3757"/>
    <w:rsid w:val="003C76FD"/>
    <w:rsid w:val="003D2B07"/>
    <w:rsid w:val="003D72DA"/>
    <w:rsid w:val="003E490C"/>
    <w:rsid w:val="003E592F"/>
    <w:rsid w:val="004023F0"/>
    <w:rsid w:val="0040359E"/>
    <w:rsid w:val="00404535"/>
    <w:rsid w:val="00410B05"/>
    <w:rsid w:val="00415819"/>
    <w:rsid w:val="00416839"/>
    <w:rsid w:val="00424AC4"/>
    <w:rsid w:val="004255D8"/>
    <w:rsid w:val="004314EF"/>
    <w:rsid w:val="00433366"/>
    <w:rsid w:val="00442380"/>
    <w:rsid w:val="004434FF"/>
    <w:rsid w:val="004441CD"/>
    <w:rsid w:val="00446A63"/>
    <w:rsid w:val="00446E81"/>
    <w:rsid w:val="0045035E"/>
    <w:rsid w:val="0045071E"/>
    <w:rsid w:val="004548F3"/>
    <w:rsid w:val="004562AB"/>
    <w:rsid w:val="004576A2"/>
    <w:rsid w:val="0046612C"/>
    <w:rsid w:val="00466226"/>
    <w:rsid w:val="004744A9"/>
    <w:rsid w:val="0047511F"/>
    <w:rsid w:val="00483221"/>
    <w:rsid w:val="00490C4A"/>
    <w:rsid w:val="00492670"/>
    <w:rsid w:val="0049492C"/>
    <w:rsid w:val="004A07D0"/>
    <w:rsid w:val="004A6E6A"/>
    <w:rsid w:val="004B0255"/>
    <w:rsid w:val="004B13B3"/>
    <w:rsid w:val="004B398B"/>
    <w:rsid w:val="004B488B"/>
    <w:rsid w:val="004C0024"/>
    <w:rsid w:val="004C3A0D"/>
    <w:rsid w:val="004C4E64"/>
    <w:rsid w:val="004D16C2"/>
    <w:rsid w:val="004E51DB"/>
    <w:rsid w:val="004E6082"/>
    <w:rsid w:val="004E704B"/>
    <w:rsid w:val="004F36E6"/>
    <w:rsid w:val="00503AC1"/>
    <w:rsid w:val="0051284B"/>
    <w:rsid w:val="005160F6"/>
    <w:rsid w:val="005166C3"/>
    <w:rsid w:val="0051763A"/>
    <w:rsid w:val="005209C3"/>
    <w:rsid w:val="00520E04"/>
    <w:rsid w:val="00533069"/>
    <w:rsid w:val="0053452F"/>
    <w:rsid w:val="005362E4"/>
    <w:rsid w:val="00536EE2"/>
    <w:rsid w:val="0053705F"/>
    <w:rsid w:val="00537544"/>
    <w:rsid w:val="00537C51"/>
    <w:rsid w:val="005427E7"/>
    <w:rsid w:val="00556CD8"/>
    <w:rsid w:val="00557145"/>
    <w:rsid w:val="0056156B"/>
    <w:rsid w:val="00561E5A"/>
    <w:rsid w:val="00566D31"/>
    <w:rsid w:val="005676E6"/>
    <w:rsid w:val="005708FB"/>
    <w:rsid w:val="0057109A"/>
    <w:rsid w:val="005720F4"/>
    <w:rsid w:val="00572DA9"/>
    <w:rsid w:val="00572E57"/>
    <w:rsid w:val="00574741"/>
    <w:rsid w:val="00576B2B"/>
    <w:rsid w:val="00576D18"/>
    <w:rsid w:val="0058051D"/>
    <w:rsid w:val="005811AB"/>
    <w:rsid w:val="00585762"/>
    <w:rsid w:val="00585B1B"/>
    <w:rsid w:val="00586BC6"/>
    <w:rsid w:val="00596C4B"/>
    <w:rsid w:val="005970B1"/>
    <w:rsid w:val="005A1DDE"/>
    <w:rsid w:val="005B060D"/>
    <w:rsid w:val="005B2168"/>
    <w:rsid w:val="005B5891"/>
    <w:rsid w:val="005B5B3B"/>
    <w:rsid w:val="005C1BF6"/>
    <w:rsid w:val="005C5F18"/>
    <w:rsid w:val="005C675C"/>
    <w:rsid w:val="005C7FC5"/>
    <w:rsid w:val="005D0E71"/>
    <w:rsid w:val="005D63DE"/>
    <w:rsid w:val="005F010F"/>
    <w:rsid w:val="005F192E"/>
    <w:rsid w:val="00603875"/>
    <w:rsid w:val="00611038"/>
    <w:rsid w:val="00611D1B"/>
    <w:rsid w:val="006134E2"/>
    <w:rsid w:val="0061695F"/>
    <w:rsid w:val="006178D3"/>
    <w:rsid w:val="00623F78"/>
    <w:rsid w:val="00632E65"/>
    <w:rsid w:val="00635073"/>
    <w:rsid w:val="0064295F"/>
    <w:rsid w:val="006431BF"/>
    <w:rsid w:val="006456AE"/>
    <w:rsid w:val="006511B3"/>
    <w:rsid w:val="00651335"/>
    <w:rsid w:val="006516E5"/>
    <w:rsid w:val="006562C4"/>
    <w:rsid w:val="006578D3"/>
    <w:rsid w:val="00660CFE"/>
    <w:rsid w:val="00662D31"/>
    <w:rsid w:val="00663872"/>
    <w:rsid w:val="00664898"/>
    <w:rsid w:val="006755AE"/>
    <w:rsid w:val="00681231"/>
    <w:rsid w:val="00681E7F"/>
    <w:rsid w:val="00683C6D"/>
    <w:rsid w:val="00685AFB"/>
    <w:rsid w:val="00694AF9"/>
    <w:rsid w:val="00696171"/>
    <w:rsid w:val="00697DB2"/>
    <w:rsid w:val="006A0BC3"/>
    <w:rsid w:val="006A5064"/>
    <w:rsid w:val="006A592D"/>
    <w:rsid w:val="006B06FD"/>
    <w:rsid w:val="006B0AAD"/>
    <w:rsid w:val="006B51B0"/>
    <w:rsid w:val="006B5D53"/>
    <w:rsid w:val="006C2C88"/>
    <w:rsid w:val="006C3E95"/>
    <w:rsid w:val="006C59C9"/>
    <w:rsid w:val="006C7AC4"/>
    <w:rsid w:val="006D6956"/>
    <w:rsid w:val="006D6E6B"/>
    <w:rsid w:val="006E3102"/>
    <w:rsid w:val="006E312F"/>
    <w:rsid w:val="006E352F"/>
    <w:rsid w:val="006E4FA0"/>
    <w:rsid w:val="006F3079"/>
    <w:rsid w:val="0070150A"/>
    <w:rsid w:val="00701827"/>
    <w:rsid w:val="007112C1"/>
    <w:rsid w:val="00720C1F"/>
    <w:rsid w:val="00730428"/>
    <w:rsid w:val="00732215"/>
    <w:rsid w:val="00735152"/>
    <w:rsid w:val="00736CB7"/>
    <w:rsid w:val="007453F7"/>
    <w:rsid w:val="00753551"/>
    <w:rsid w:val="00754CBE"/>
    <w:rsid w:val="0076728E"/>
    <w:rsid w:val="007672DB"/>
    <w:rsid w:val="00767861"/>
    <w:rsid w:val="00770386"/>
    <w:rsid w:val="007755AC"/>
    <w:rsid w:val="00775D95"/>
    <w:rsid w:val="007806AF"/>
    <w:rsid w:val="00781863"/>
    <w:rsid w:val="00781A71"/>
    <w:rsid w:val="0078311F"/>
    <w:rsid w:val="0079351C"/>
    <w:rsid w:val="007A0FCA"/>
    <w:rsid w:val="007A338F"/>
    <w:rsid w:val="007A3615"/>
    <w:rsid w:val="007B5E9D"/>
    <w:rsid w:val="007C076D"/>
    <w:rsid w:val="007D4D6A"/>
    <w:rsid w:val="007F3381"/>
    <w:rsid w:val="007F6984"/>
    <w:rsid w:val="007F71D3"/>
    <w:rsid w:val="0080066F"/>
    <w:rsid w:val="008012EA"/>
    <w:rsid w:val="00802A3B"/>
    <w:rsid w:val="00803FBA"/>
    <w:rsid w:val="00813BA3"/>
    <w:rsid w:val="00813F65"/>
    <w:rsid w:val="0081569C"/>
    <w:rsid w:val="00816025"/>
    <w:rsid w:val="008246BD"/>
    <w:rsid w:val="008258EA"/>
    <w:rsid w:val="008330CA"/>
    <w:rsid w:val="008359E1"/>
    <w:rsid w:val="008374B4"/>
    <w:rsid w:val="00837B78"/>
    <w:rsid w:val="0084293B"/>
    <w:rsid w:val="00845172"/>
    <w:rsid w:val="00845F94"/>
    <w:rsid w:val="00852894"/>
    <w:rsid w:val="0085470A"/>
    <w:rsid w:val="00864D21"/>
    <w:rsid w:val="008656CD"/>
    <w:rsid w:val="00872976"/>
    <w:rsid w:val="00873BDD"/>
    <w:rsid w:val="00873D7E"/>
    <w:rsid w:val="00875F86"/>
    <w:rsid w:val="0088208D"/>
    <w:rsid w:val="00883B78"/>
    <w:rsid w:val="00887DFE"/>
    <w:rsid w:val="00887FA7"/>
    <w:rsid w:val="00895BD1"/>
    <w:rsid w:val="008962A6"/>
    <w:rsid w:val="008A0D0B"/>
    <w:rsid w:val="008A1CCC"/>
    <w:rsid w:val="008A7980"/>
    <w:rsid w:val="008B628E"/>
    <w:rsid w:val="008C0123"/>
    <w:rsid w:val="008C58C8"/>
    <w:rsid w:val="008D0883"/>
    <w:rsid w:val="008D36DE"/>
    <w:rsid w:val="008D4C0D"/>
    <w:rsid w:val="008D4E13"/>
    <w:rsid w:val="008D72D0"/>
    <w:rsid w:val="008D7B7D"/>
    <w:rsid w:val="008E7ED6"/>
    <w:rsid w:val="008F56B1"/>
    <w:rsid w:val="008F7775"/>
    <w:rsid w:val="008F7F3A"/>
    <w:rsid w:val="009045DD"/>
    <w:rsid w:val="00911235"/>
    <w:rsid w:val="00915221"/>
    <w:rsid w:val="00915352"/>
    <w:rsid w:val="00921AF5"/>
    <w:rsid w:val="009231F7"/>
    <w:rsid w:val="009309DD"/>
    <w:rsid w:val="00931350"/>
    <w:rsid w:val="009329A9"/>
    <w:rsid w:val="0093650E"/>
    <w:rsid w:val="0093686B"/>
    <w:rsid w:val="0093700A"/>
    <w:rsid w:val="00944DDB"/>
    <w:rsid w:val="00946CBA"/>
    <w:rsid w:val="0094733A"/>
    <w:rsid w:val="00953375"/>
    <w:rsid w:val="00961227"/>
    <w:rsid w:val="009625B0"/>
    <w:rsid w:val="00967573"/>
    <w:rsid w:val="009676BF"/>
    <w:rsid w:val="00970EBF"/>
    <w:rsid w:val="00975EA7"/>
    <w:rsid w:val="00976CF5"/>
    <w:rsid w:val="00981515"/>
    <w:rsid w:val="00983CE1"/>
    <w:rsid w:val="009853C8"/>
    <w:rsid w:val="009948A2"/>
    <w:rsid w:val="00997A9B"/>
    <w:rsid w:val="009A0D9F"/>
    <w:rsid w:val="009A1479"/>
    <w:rsid w:val="009A2AB4"/>
    <w:rsid w:val="009A54E5"/>
    <w:rsid w:val="009B254A"/>
    <w:rsid w:val="009B2984"/>
    <w:rsid w:val="009B5BA4"/>
    <w:rsid w:val="009C0037"/>
    <w:rsid w:val="009C1A1F"/>
    <w:rsid w:val="009C1DD1"/>
    <w:rsid w:val="009C2961"/>
    <w:rsid w:val="009C372B"/>
    <w:rsid w:val="009C39CE"/>
    <w:rsid w:val="009C7F64"/>
    <w:rsid w:val="009D444E"/>
    <w:rsid w:val="009D70F7"/>
    <w:rsid w:val="009D7C41"/>
    <w:rsid w:val="009E1B97"/>
    <w:rsid w:val="009F1D0D"/>
    <w:rsid w:val="009F6F33"/>
    <w:rsid w:val="00A00814"/>
    <w:rsid w:val="00A011BB"/>
    <w:rsid w:val="00A013D5"/>
    <w:rsid w:val="00A023CC"/>
    <w:rsid w:val="00A046A6"/>
    <w:rsid w:val="00A04C96"/>
    <w:rsid w:val="00A23FA3"/>
    <w:rsid w:val="00A27E02"/>
    <w:rsid w:val="00A34CA7"/>
    <w:rsid w:val="00A4054E"/>
    <w:rsid w:val="00A41453"/>
    <w:rsid w:val="00A50BC4"/>
    <w:rsid w:val="00A62847"/>
    <w:rsid w:val="00A630A2"/>
    <w:rsid w:val="00A7127D"/>
    <w:rsid w:val="00A7486D"/>
    <w:rsid w:val="00A830F9"/>
    <w:rsid w:val="00A84C54"/>
    <w:rsid w:val="00A84F41"/>
    <w:rsid w:val="00A92CA8"/>
    <w:rsid w:val="00A93E73"/>
    <w:rsid w:val="00A94B4C"/>
    <w:rsid w:val="00A94CB1"/>
    <w:rsid w:val="00A94EC0"/>
    <w:rsid w:val="00AA1068"/>
    <w:rsid w:val="00AA4D6C"/>
    <w:rsid w:val="00AA57D0"/>
    <w:rsid w:val="00AB4003"/>
    <w:rsid w:val="00AB5519"/>
    <w:rsid w:val="00AC3A2B"/>
    <w:rsid w:val="00AC6D12"/>
    <w:rsid w:val="00AD0188"/>
    <w:rsid w:val="00AD369F"/>
    <w:rsid w:val="00AE4496"/>
    <w:rsid w:val="00B10229"/>
    <w:rsid w:val="00B277E5"/>
    <w:rsid w:val="00B27EB8"/>
    <w:rsid w:val="00B325C9"/>
    <w:rsid w:val="00B3448E"/>
    <w:rsid w:val="00B34E61"/>
    <w:rsid w:val="00B356B9"/>
    <w:rsid w:val="00B375FD"/>
    <w:rsid w:val="00B37D00"/>
    <w:rsid w:val="00B4272B"/>
    <w:rsid w:val="00B52A00"/>
    <w:rsid w:val="00B61A5D"/>
    <w:rsid w:val="00B64863"/>
    <w:rsid w:val="00B64E96"/>
    <w:rsid w:val="00B71FF2"/>
    <w:rsid w:val="00B73BD5"/>
    <w:rsid w:val="00B73F85"/>
    <w:rsid w:val="00B8036B"/>
    <w:rsid w:val="00B814CC"/>
    <w:rsid w:val="00B858B0"/>
    <w:rsid w:val="00B87719"/>
    <w:rsid w:val="00B90663"/>
    <w:rsid w:val="00B911D8"/>
    <w:rsid w:val="00BA2929"/>
    <w:rsid w:val="00BA5002"/>
    <w:rsid w:val="00BA67D0"/>
    <w:rsid w:val="00BB0FC7"/>
    <w:rsid w:val="00BC0397"/>
    <w:rsid w:val="00BC12F5"/>
    <w:rsid w:val="00BC3BEA"/>
    <w:rsid w:val="00BC3FFA"/>
    <w:rsid w:val="00BC4A02"/>
    <w:rsid w:val="00BC6926"/>
    <w:rsid w:val="00BD4D0E"/>
    <w:rsid w:val="00BE2C2D"/>
    <w:rsid w:val="00BE4EFD"/>
    <w:rsid w:val="00BF64EC"/>
    <w:rsid w:val="00C030D4"/>
    <w:rsid w:val="00C1060F"/>
    <w:rsid w:val="00C11B8B"/>
    <w:rsid w:val="00C11DA0"/>
    <w:rsid w:val="00C12384"/>
    <w:rsid w:val="00C16706"/>
    <w:rsid w:val="00C24082"/>
    <w:rsid w:val="00C25D83"/>
    <w:rsid w:val="00C26910"/>
    <w:rsid w:val="00C34E76"/>
    <w:rsid w:val="00C379EA"/>
    <w:rsid w:val="00C50CD2"/>
    <w:rsid w:val="00C526B4"/>
    <w:rsid w:val="00C564B5"/>
    <w:rsid w:val="00C70E35"/>
    <w:rsid w:val="00C71811"/>
    <w:rsid w:val="00C80BA4"/>
    <w:rsid w:val="00C80C39"/>
    <w:rsid w:val="00CA14E7"/>
    <w:rsid w:val="00CA1AC0"/>
    <w:rsid w:val="00CA239C"/>
    <w:rsid w:val="00CA3BE5"/>
    <w:rsid w:val="00CA50C6"/>
    <w:rsid w:val="00CA7411"/>
    <w:rsid w:val="00CB0711"/>
    <w:rsid w:val="00CB652A"/>
    <w:rsid w:val="00CC3E65"/>
    <w:rsid w:val="00CC457D"/>
    <w:rsid w:val="00CC6987"/>
    <w:rsid w:val="00CD53E2"/>
    <w:rsid w:val="00CD5783"/>
    <w:rsid w:val="00CD6D63"/>
    <w:rsid w:val="00CF4C20"/>
    <w:rsid w:val="00D01105"/>
    <w:rsid w:val="00D01403"/>
    <w:rsid w:val="00D040FF"/>
    <w:rsid w:val="00D049B3"/>
    <w:rsid w:val="00D054E8"/>
    <w:rsid w:val="00D0658F"/>
    <w:rsid w:val="00D07C44"/>
    <w:rsid w:val="00D106FC"/>
    <w:rsid w:val="00D20D77"/>
    <w:rsid w:val="00D24E24"/>
    <w:rsid w:val="00D26273"/>
    <w:rsid w:val="00D3098F"/>
    <w:rsid w:val="00D36C91"/>
    <w:rsid w:val="00D37EF8"/>
    <w:rsid w:val="00D41535"/>
    <w:rsid w:val="00D42580"/>
    <w:rsid w:val="00D465E5"/>
    <w:rsid w:val="00D60E5A"/>
    <w:rsid w:val="00D65A25"/>
    <w:rsid w:val="00D67186"/>
    <w:rsid w:val="00D723FC"/>
    <w:rsid w:val="00D74520"/>
    <w:rsid w:val="00D76ACE"/>
    <w:rsid w:val="00D83A54"/>
    <w:rsid w:val="00D95AC7"/>
    <w:rsid w:val="00D968DC"/>
    <w:rsid w:val="00DA0EF1"/>
    <w:rsid w:val="00DA28A7"/>
    <w:rsid w:val="00DA4250"/>
    <w:rsid w:val="00DA5A1F"/>
    <w:rsid w:val="00DB0340"/>
    <w:rsid w:val="00DB36C5"/>
    <w:rsid w:val="00DB4813"/>
    <w:rsid w:val="00DB4CBA"/>
    <w:rsid w:val="00DB5FE1"/>
    <w:rsid w:val="00DC24A1"/>
    <w:rsid w:val="00DC36C2"/>
    <w:rsid w:val="00DC3BD7"/>
    <w:rsid w:val="00DC3E0D"/>
    <w:rsid w:val="00DD18A5"/>
    <w:rsid w:val="00DD7C7B"/>
    <w:rsid w:val="00DD7FAB"/>
    <w:rsid w:val="00DE004E"/>
    <w:rsid w:val="00DE12FA"/>
    <w:rsid w:val="00DE6011"/>
    <w:rsid w:val="00DE63DB"/>
    <w:rsid w:val="00DE6A9C"/>
    <w:rsid w:val="00DF2171"/>
    <w:rsid w:val="00DF4EB3"/>
    <w:rsid w:val="00E04C52"/>
    <w:rsid w:val="00E0571D"/>
    <w:rsid w:val="00E11DA1"/>
    <w:rsid w:val="00E120D7"/>
    <w:rsid w:val="00E36D23"/>
    <w:rsid w:val="00E37DCD"/>
    <w:rsid w:val="00E41ACB"/>
    <w:rsid w:val="00E420B0"/>
    <w:rsid w:val="00E42BE7"/>
    <w:rsid w:val="00E506AC"/>
    <w:rsid w:val="00E52D8D"/>
    <w:rsid w:val="00E5350C"/>
    <w:rsid w:val="00E643C8"/>
    <w:rsid w:val="00E64F8F"/>
    <w:rsid w:val="00E66289"/>
    <w:rsid w:val="00E67C1B"/>
    <w:rsid w:val="00E86890"/>
    <w:rsid w:val="00E952D5"/>
    <w:rsid w:val="00EA3C35"/>
    <w:rsid w:val="00EB1825"/>
    <w:rsid w:val="00EB7A85"/>
    <w:rsid w:val="00EC4BBC"/>
    <w:rsid w:val="00EC7C19"/>
    <w:rsid w:val="00ED435C"/>
    <w:rsid w:val="00EE1146"/>
    <w:rsid w:val="00EE612B"/>
    <w:rsid w:val="00EF1A20"/>
    <w:rsid w:val="00EF3EC9"/>
    <w:rsid w:val="00EF5F0E"/>
    <w:rsid w:val="00F000D0"/>
    <w:rsid w:val="00F07D37"/>
    <w:rsid w:val="00F12339"/>
    <w:rsid w:val="00F12B0C"/>
    <w:rsid w:val="00F12C85"/>
    <w:rsid w:val="00F171E0"/>
    <w:rsid w:val="00F26ACE"/>
    <w:rsid w:val="00F3440C"/>
    <w:rsid w:val="00F45766"/>
    <w:rsid w:val="00F45EE5"/>
    <w:rsid w:val="00F47BD4"/>
    <w:rsid w:val="00F50E9A"/>
    <w:rsid w:val="00F57702"/>
    <w:rsid w:val="00F63B08"/>
    <w:rsid w:val="00F67FB0"/>
    <w:rsid w:val="00F70B03"/>
    <w:rsid w:val="00F72830"/>
    <w:rsid w:val="00F813E2"/>
    <w:rsid w:val="00F81CB7"/>
    <w:rsid w:val="00F81E68"/>
    <w:rsid w:val="00F831BA"/>
    <w:rsid w:val="00F83B73"/>
    <w:rsid w:val="00F84D60"/>
    <w:rsid w:val="00F97E93"/>
    <w:rsid w:val="00FA0D53"/>
    <w:rsid w:val="00FA6093"/>
    <w:rsid w:val="00FA6B1E"/>
    <w:rsid w:val="00FB0771"/>
    <w:rsid w:val="00FC2BFC"/>
    <w:rsid w:val="00FC44D6"/>
    <w:rsid w:val="00FE12F1"/>
    <w:rsid w:val="00FE2DBF"/>
    <w:rsid w:val="00FE5F53"/>
    <w:rsid w:val="00FE73DE"/>
    <w:rsid w:val="00FF0EC3"/>
    <w:rsid w:val="00FF6B68"/>
    <w:rsid w:val="00FF6C8B"/>
    <w:rsid w:val="00FF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semiHidden/>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uiPriority w:val="59"/>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 w:type="paragraph" w:customStyle="1" w:styleId="BankNormal">
    <w:name w:val="BankNormal"/>
    <w:basedOn w:val="Normal"/>
    <w:rsid w:val="00FA6B1E"/>
    <w:pPr>
      <w:spacing w:after="240"/>
    </w:pPr>
    <w:rPr>
      <w:lang w:val="sr-Latn-CS"/>
    </w:rPr>
  </w:style>
  <w:style w:type="paragraph" w:styleId="ListParagraph">
    <w:name w:val="List Paragraph"/>
    <w:basedOn w:val="Normal"/>
    <w:uiPriority w:val="34"/>
    <w:qFormat/>
    <w:rsid w:val="002729E5"/>
    <w:pPr>
      <w:ind w:left="720"/>
      <w:contextualSpacing/>
    </w:pPr>
    <w:rPr>
      <w:lang w:val="sr-Latn-CS"/>
    </w:rPr>
  </w:style>
  <w:style w:type="paragraph" w:customStyle="1" w:styleId="Sub-ClauseText">
    <w:name w:val="Sub-Clause Text"/>
    <w:basedOn w:val="Normal"/>
    <w:rsid w:val="00767861"/>
    <w:pPr>
      <w:spacing w:before="120" w:after="120"/>
      <w:jc w:val="both"/>
    </w:pPr>
    <w:rPr>
      <w:spacing w:val="-4"/>
      <w:lang w:val="sr-Latn-CS"/>
    </w:rPr>
  </w:style>
  <w:style w:type="paragraph" w:styleId="PlainText">
    <w:name w:val="Plain Text"/>
    <w:basedOn w:val="Normal"/>
    <w:link w:val="PlainTextChar"/>
    <w:uiPriority w:val="99"/>
    <w:semiHidden/>
    <w:unhideWhenUsed/>
    <w:rsid w:val="00F171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171E0"/>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55475053">
      <w:bodyDiv w:val="1"/>
      <w:marLeft w:val="0"/>
      <w:marRight w:val="0"/>
      <w:marTop w:val="0"/>
      <w:marBottom w:val="0"/>
      <w:divBdr>
        <w:top w:val="none" w:sz="0" w:space="0" w:color="auto"/>
        <w:left w:val="none" w:sz="0" w:space="0" w:color="auto"/>
        <w:bottom w:val="none" w:sz="0" w:space="0" w:color="auto"/>
        <w:right w:val="none" w:sz="0" w:space="0" w:color="auto"/>
      </w:divBdr>
    </w:div>
    <w:div w:id="618994303">
      <w:bodyDiv w:val="1"/>
      <w:marLeft w:val="0"/>
      <w:marRight w:val="0"/>
      <w:marTop w:val="0"/>
      <w:marBottom w:val="0"/>
      <w:divBdr>
        <w:top w:val="none" w:sz="0" w:space="0" w:color="auto"/>
        <w:left w:val="none" w:sz="0" w:space="0" w:color="auto"/>
        <w:bottom w:val="none" w:sz="0" w:space="0" w:color="auto"/>
        <w:right w:val="none" w:sz="0" w:space="0" w:color="auto"/>
      </w:divBdr>
    </w:div>
    <w:div w:id="630012053">
      <w:bodyDiv w:val="1"/>
      <w:marLeft w:val="0"/>
      <w:marRight w:val="0"/>
      <w:marTop w:val="0"/>
      <w:marBottom w:val="0"/>
      <w:divBdr>
        <w:top w:val="none" w:sz="0" w:space="0" w:color="auto"/>
        <w:left w:val="none" w:sz="0" w:space="0" w:color="auto"/>
        <w:bottom w:val="none" w:sz="0" w:space="0" w:color="auto"/>
        <w:right w:val="none" w:sz="0" w:space="0" w:color="auto"/>
      </w:divBdr>
    </w:div>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861895791">
      <w:bodyDiv w:val="1"/>
      <w:marLeft w:val="0"/>
      <w:marRight w:val="0"/>
      <w:marTop w:val="0"/>
      <w:marBottom w:val="0"/>
      <w:divBdr>
        <w:top w:val="none" w:sz="0" w:space="0" w:color="auto"/>
        <w:left w:val="none" w:sz="0" w:space="0" w:color="auto"/>
        <w:bottom w:val="none" w:sz="0" w:space="0" w:color="auto"/>
        <w:right w:val="none" w:sz="0" w:space="0" w:color="auto"/>
      </w:divBdr>
    </w:div>
    <w:div w:id="996959573">
      <w:bodyDiv w:val="1"/>
      <w:marLeft w:val="0"/>
      <w:marRight w:val="0"/>
      <w:marTop w:val="0"/>
      <w:marBottom w:val="0"/>
      <w:divBdr>
        <w:top w:val="none" w:sz="0" w:space="0" w:color="auto"/>
        <w:left w:val="none" w:sz="0" w:space="0" w:color="auto"/>
        <w:bottom w:val="none" w:sz="0" w:space="0" w:color="auto"/>
        <w:right w:val="none" w:sz="0" w:space="0" w:color="auto"/>
      </w:divBdr>
    </w:div>
    <w:div w:id="1391729968">
      <w:bodyDiv w:val="1"/>
      <w:marLeft w:val="0"/>
      <w:marRight w:val="0"/>
      <w:marTop w:val="0"/>
      <w:marBottom w:val="0"/>
      <w:divBdr>
        <w:top w:val="none" w:sz="0" w:space="0" w:color="auto"/>
        <w:left w:val="none" w:sz="0" w:space="0" w:color="auto"/>
        <w:bottom w:val="none" w:sz="0" w:space="0" w:color="auto"/>
        <w:right w:val="none" w:sz="0" w:space="0" w:color="auto"/>
      </w:divBdr>
    </w:div>
    <w:div w:id="1461846615">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1959682074">
      <w:bodyDiv w:val="1"/>
      <w:marLeft w:val="0"/>
      <w:marRight w:val="0"/>
      <w:marTop w:val="0"/>
      <w:marBottom w:val="0"/>
      <w:divBdr>
        <w:top w:val="none" w:sz="0" w:space="0" w:color="auto"/>
        <w:left w:val="none" w:sz="0" w:space="0" w:color="auto"/>
        <w:bottom w:val="none" w:sz="0" w:space="0" w:color="auto"/>
        <w:right w:val="none" w:sz="0" w:space="0" w:color="auto"/>
      </w:divBdr>
    </w:div>
    <w:div w:id="2034500978">
      <w:bodyDiv w:val="1"/>
      <w:marLeft w:val="0"/>
      <w:marRight w:val="0"/>
      <w:marTop w:val="0"/>
      <w:marBottom w:val="0"/>
      <w:divBdr>
        <w:top w:val="none" w:sz="0" w:space="0" w:color="auto"/>
        <w:left w:val="none" w:sz="0" w:space="0" w:color="auto"/>
        <w:bottom w:val="none" w:sz="0" w:space="0" w:color="auto"/>
        <w:right w:val="none" w:sz="0" w:space="0" w:color="auto"/>
      </w:divBdr>
    </w:div>
    <w:div w:id="2064057092">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PC05</cp:lastModifiedBy>
  <cp:revision>2</cp:revision>
  <cp:lastPrinted>2012-01-09T11:57:00Z</cp:lastPrinted>
  <dcterms:created xsi:type="dcterms:W3CDTF">2012-01-09T12:06:00Z</dcterms:created>
  <dcterms:modified xsi:type="dcterms:W3CDTF">2012-01-09T12:06:00Z</dcterms:modified>
</cp:coreProperties>
</file>