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7" w:rsidRPr="00BF44DD" w:rsidRDefault="00525FF7" w:rsidP="00525FF7">
      <w:pPr>
        <w:jc w:val="both"/>
        <w:rPr>
          <w:sz w:val="22"/>
          <w:szCs w:val="22"/>
        </w:rPr>
      </w:pPr>
    </w:p>
    <w:p w:rsidR="002E3361" w:rsidRPr="00BF44DD" w:rsidRDefault="002E3361" w:rsidP="00525FF7">
      <w:pPr>
        <w:jc w:val="both"/>
        <w:rPr>
          <w:sz w:val="22"/>
          <w:szCs w:val="22"/>
        </w:rPr>
      </w:pPr>
    </w:p>
    <w:p w:rsidR="00C74DFE" w:rsidRPr="00BF44DD" w:rsidRDefault="00C74DFE" w:rsidP="00C74DFE">
      <w:pPr>
        <w:jc w:val="both"/>
        <w:rPr>
          <w:sz w:val="22"/>
          <w:szCs w:val="22"/>
          <w:lang w:val="sr-Cyrl-CS"/>
        </w:rPr>
      </w:pPr>
      <w:r w:rsidRPr="00BF44DD">
        <w:rPr>
          <w:sz w:val="22"/>
          <w:szCs w:val="22"/>
          <w:lang w:val="en-GB"/>
        </w:rPr>
        <w:t>Pursuant to the law of the Republic of Serbia, the European Investment Bank’s policy described in the Guide to Procurement, and the Tender Documents, the Employer’s Tender Commission has created a</w:t>
      </w:r>
      <w:r w:rsidRPr="00BF44DD">
        <w:rPr>
          <w:sz w:val="22"/>
          <w:szCs w:val="22"/>
          <w:lang w:val="sr-Cyrl-CS"/>
        </w:rPr>
        <w:t xml:space="preserve"> </w:t>
      </w:r>
    </w:p>
    <w:p w:rsidR="00C74DFE" w:rsidRPr="00BF44DD" w:rsidRDefault="00C74DFE" w:rsidP="00C74DFE">
      <w:pPr>
        <w:rPr>
          <w:sz w:val="22"/>
          <w:szCs w:val="22"/>
        </w:rPr>
      </w:pPr>
    </w:p>
    <w:p w:rsidR="00C74DFE" w:rsidRPr="00BF44DD" w:rsidRDefault="00C74DFE" w:rsidP="00C74DFE">
      <w:pPr>
        <w:rPr>
          <w:sz w:val="22"/>
          <w:szCs w:val="22"/>
        </w:rPr>
      </w:pPr>
    </w:p>
    <w:p w:rsidR="00C74DFE" w:rsidRPr="00BF44DD" w:rsidRDefault="00C74DFE" w:rsidP="00C74DFE">
      <w:pPr>
        <w:jc w:val="center"/>
        <w:rPr>
          <w:b/>
          <w:sz w:val="22"/>
          <w:szCs w:val="22"/>
          <w:lang w:val="sr-Cyrl-CS"/>
        </w:rPr>
      </w:pPr>
      <w:r w:rsidRPr="00BF44DD">
        <w:rPr>
          <w:b/>
          <w:sz w:val="22"/>
          <w:szCs w:val="22"/>
          <w:lang w:val="en-GB"/>
        </w:rPr>
        <w:t>BID EVALUATION REPORT</w:t>
      </w:r>
    </w:p>
    <w:p w:rsidR="00C74DFE" w:rsidRPr="00BF44DD" w:rsidRDefault="00C74DFE" w:rsidP="00C74DFE">
      <w:pPr>
        <w:jc w:val="center"/>
        <w:rPr>
          <w:b/>
          <w:sz w:val="22"/>
          <w:szCs w:val="22"/>
          <w:lang w:val="sr-Cyrl-CS"/>
        </w:rPr>
      </w:pPr>
      <w:r w:rsidRPr="00BF44DD">
        <w:rPr>
          <w:b/>
          <w:sz w:val="22"/>
          <w:szCs w:val="22"/>
          <w:lang w:val="en-GB"/>
        </w:rPr>
        <w:t>for public procurement No.</w:t>
      </w:r>
      <w:r w:rsidRPr="00BF44DD">
        <w:rPr>
          <w:b/>
          <w:sz w:val="22"/>
          <w:szCs w:val="22"/>
          <w:lang w:val="sr-Cyrl-CS"/>
        </w:rPr>
        <w:t xml:space="preserve"> </w:t>
      </w:r>
      <w:r w:rsidRPr="00BF44DD">
        <w:rPr>
          <w:b/>
          <w:sz w:val="22"/>
          <w:szCs w:val="22"/>
          <w:lang w:val="en-GB"/>
        </w:rPr>
        <w:t>IOP/4-2011/C-TENDER No.1</w:t>
      </w:r>
    </w:p>
    <w:p w:rsidR="002E3361" w:rsidRPr="00BF44DD" w:rsidRDefault="002E3361" w:rsidP="00525FF7">
      <w:pPr>
        <w:jc w:val="both"/>
        <w:rPr>
          <w:sz w:val="22"/>
          <w:szCs w:val="22"/>
        </w:rPr>
      </w:pPr>
    </w:p>
    <w:p w:rsidR="00734E4D" w:rsidRPr="00BF44DD" w:rsidRDefault="00734E4D" w:rsidP="005C5A76">
      <w:pPr>
        <w:jc w:val="both"/>
        <w:rPr>
          <w:color w:val="FF0000"/>
          <w:sz w:val="22"/>
          <w:szCs w:val="22"/>
        </w:rPr>
      </w:pPr>
    </w:p>
    <w:p w:rsidR="006E67BA" w:rsidRPr="00BF44DD" w:rsidRDefault="00B93FB5" w:rsidP="006E67BA">
      <w:pPr>
        <w:pStyle w:val="ListParagraph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lang w:val="en-GB"/>
        </w:rPr>
        <w:t>Employer</w:t>
      </w:r>
      <w:r w:rsidR="006E67BA" w:rsidRPr="00BF44DD">
        <w:rPr>
          <w:sz w:val="22"/>
          <w:szCs w:val="22"/>
          <w:lang w:val="en-GB"/>
        </w:rPr>
        <w:t>:</w:t>
      </w:r>
      <w:r w:rsidR="006E67BA" w:rsidRPr="00BF44DD">
        <w:rPr>
          <w:sz w:val="22"/>
          <w:szCs w:val="22"/>
        </w:rPr>
        <w:t xml:space="preserve"> </w:t>
      </w:r>
      <w:r w:rsidR="006E67BA" w:rsidRPr="00BF44DD">
        <w:rPr>
          <w:sz w:val="22"/>
          <w:szCs w:val="22"/>
          <w:lang w:val="en-GB"/>
        </w:rPr>
        <w:t>PIU Research and Development Ltd., Belgrade, Nemanjina 22-26.</w:t>
      </w:r>
    </w:p>
    <w:p w:rsidR="006E67BA" w:rsidRPr="00BF44DD" w:rsidRDefault="006E67BA" w:rsidP="006E67BA">
      <w:pPr>
        <w:pStyle w:val="ListParagraph"/>
        <w:ind w:left="0"/>
        <w:jc w:val="both"/>
        <w:rPr>
          <w:sz w:val="22"/>
          <w:szCs w:val="22"/>
        </w:rPr>
      </w:pPr>
    </w:p>
    <w:p w:rsidR="003106D3" w:rsidRPr="00BF44DD" w:rsidRDefault="006E67BA" w:rsidP="00396498">
      <w:pPr>
        <w:pStyle w:val="ListParagraph"/>
        <w:ind w:left="0"/>
        <w:jc w:val="both"/>
        <w:rPr>
          <w:sz w:val="22"/>
          <w:szCs w:val="22"/>
          <w:lang w:val="sv-SE"/>
        </w:rPr>
      </w:pPr>
      <w:r w:rsidRPr="00BF44DD">
        <w:rPr>
          <w:b/>
          <w:sz w:val="22"/>
          <w:szCs w:val="22"/>
          <w:lang w:val="en-GB"/>
        </w:rPr>
        <w:t>Subject of the procurement:</w:t>
      </w:r>
      <w:r w:rsidRPr="00BF44DD">
        <w:rPr>
          <w:sz w:val="22"/>
          <w:szCs w:val="22"/>
          <w:lang w:val="en-GB"/>
        </w:rPr>
        <w:t xml:space="preserve"> </w:t>
      </w:r>
      <w:r w:rsidR="00396498">
        <w:rPr>
          <w:sz w:val="22"/>
          <w:szCs w:val="22"/>
          <w:lang w:val="en-GB"/>
        </w:rPr>
        <w:t>P</w:t>
      </w:r>
      <w:r w:rsidR="00396498" w:rsidRPr="00396498">
        <w:rPr>
          <w:sz w:val="22"/>
          <w:szCs w:val="22"/>
          <w:lang w:val="en-GB"/>
        </w:rPr>
        <w:t xml:space="preserve">rocurement of consumables for the research projects </w:t>
      </w:r>
      <w:r w:rsidR="00396498" w:rsidRPr="00BF44DD">
        <w:rPr>
          <w:sz w:val="22"/>
          <w:szCs w:val="22"/>
          <w:lang w:val="en-GB"/>
        </w:rPr>
        <w:t>organized in 193 lots</w:t>
      </w:r>
    </w:p>
    <w:p w:rsidR="00C048D8" w:rsidRPr="00BF44DD" w:rsidRDefault="00C048D8" w:rsidP="006E67BA">
      <w:pPr>
        <w:pStyle w:val="ListParagraph"/>
        <w:ind w:left="0"/>
        <w:jc w:val="both"/>
        <w:rPr>
          <w:sz w:val="22"/>
          <w:szCs w:val="22"/>
          <w:lang w:val="sv-SE"/>
        </w:rPr>
      </w:pPr>
    </w:p>
    <w:p w:rsidR="00C048D8" w:rsidRPr="00BF44DD" w:rsidRDefault="00C048D8" w:rsidP="00C048D8">
      <w:pPr>
        <w:pStyle w:val="ListParagraph"/>
        <w:ind w:left="0"/>
        <w:jc w:val="both"/>
        <w:rPr>
          <w:sz w:val="22"/>
          <w:szCs w:val="22"/>
          <w:lang w:val="en-GB"/>
        </w:rPr>
      </w:pPr>
      <w:r w:rsidRPr="00BF44DD">
        <w:rPr>
          <w:b/>
          <w:sz w:val="22"/>
          <w:szCs w:val="22"/>
          <w:lang w:val="en-GB"/>
        </w:rPr>
        <w:t>Type of procedure:</w:t>
      </w:r>
      <w:r w:rsidRPr="00BF44DD">
        <w:rPr>
          <w:sz w:val="22"/>
          <w:szCs w:val="22"/>
        </w:rPr>
        <w:t xml:space="preserve"> </w:t>
      </w:r>
      <w:r w:rsidRPr="00BF44DD">
        <w:rPr>
          <w:sz w:val="22"/>
          <w:szCs w:val="22"/>
          <w:lang w:val="en-GB"/>
        </w:rPr>
        <w:t>International open procedure, based on the Decision on initiating a procedure No.</w:t>
      </w:r>
      <w:r w:rsidRPr="00BF44DD">
        <w:rPr>
          <w:sz w:val="22"/>
          <w:szCs w:val="22"/>
        </w:rPr>
        <w:t xml:space="preserve"> </w:t>
      </w:r>
      <w:r w:rsidRPr="00BF44DD">
        <w:rPr>
          <w:sz w:val="22"/>
          <w:szCs w:val="22"/>
          <w:lang w:val="en-GB"/>
        </w:rPr>
        <w:t>2181 of 15</w:t>
      </w:r>
      <w:r w:rsidRPr="00BF44DD">
        <w:rPr>
          <w:sz w:val="22"/>
          <w:szCs w:val="22"/>
          <w:vertAlign w:val="superscript"/>
          <w:lang w:val="en-GB"/>
        </w:rPr>
        <w:t>th</w:t>
      </w:r>
      <w:r w:rsidRPr="00BF44DD">
        <w:rPr>
          <w:sz w:val="22"/>
          <w:szCs w:val="22"/>
          <w:lang w:val="en-GB"/>
        </w:rPr>
        <w:t xml:space="preserve"> November 2011 in line with Article 7 Paragraph 1 Item 2(b) of the Public Procurement Law (</w:t>
      </w:r>
      <w:r w:rsidRPr="00BF44DD">
        <w:rPr>
          <w:i/>
          <w:sz w:val="22"/>
          <w:szCs w:val="22"/>
          <w:lang w:val="en-GB"/>
        </w:rPr>
        <w:t>Official Gazette of the Republic of Serbia</w:t>
      </w:r>
      <w:r w:rsidR="00396498">
        <w:rPr>
          <w:sz w:val="22"/>
          <w:szCs w:val="22"/>
          <w:lang w:val="en-GB"/>
        </w:rPr>
        <w:t xml:space="preserve"> No. 116/08)</w:t>
      </w:r>
      <w:r w:rsidRPr="00BF44DD">
        <w:rPr>
          <w:sz w:val="22"/>
          <w:szCs w:val="22"/>
          <w:lang w:val="en-GB"/>
        </w:rPr>
        <w:t>.</w:t>
      </w:r>
    </w:p>
    <w:p w:rsidR="00B53615" w:rsidRPr="00BF44DD" w:rsidRDefault="00B53615" w:rsidP="00C048D8">
      <w:pPr>
        <w:pStyle w:val="ListParagraph"/>
        <w:ind w:left="0"/>
        <w:jc w:val="both"/>
        <w:rPr>
          <w:sz w:val="22"/>
          <w:szCs w:val="22"/>
        </w:rPr>
      </w:pPr>
    </w:p>
    <w:p w:rsidR="00B53615" w:rsidRPr="00BF44DD" w:rsidRDefault="00B53615" w:rsidP="00B53615">
      <w:pPr>
        <w:pStyle w:val="ListParagraph"/>
        <w:ind w:left="0"/>
        <w:jc w:val="both"/>
        <w:rPr>
          <w:sz w:val="22"/>
          <w:szCs w:val="22"/>
          <w:lang w:val="en-GB"/>
        </w:rPr>
      </w:pPr>
      <w:r w:rsidRPr="00BF44DD">
        <w:rPr>
          <w:b/>
          <w:sz w:val="22"/>
          <w:szCs w:val="22"/>
          <w:lang w:val="en-GB"/>
        </w:rPr>
        <w:t>Estimated value:</w:t>
      </w:r>
      <w:r w:rsidRPr="00BF44DD">
        <w:rPr>
          <w:sz w:val="22"/>
          <w:szCs w:val="22"/>
        </w:rPr>
        <w:t xml:space="preserve"> </w:t>
      </w:r>
      <w:r w:rsidRPr="00BF44DD">
        <w:rPr>
          <w:sz w:val="22"/>
          <w:szCs w:val="22"/>
          <w:lang w:val="sr-Latn-CS"/>
        </w:rPr>
        <w:t xml:space="preserve"> </w:t>
      </w:r>
      <w:r w:rsidR="002A6D7A" w:rsidRPr="00BF44DD">
        <w:rPr>
          <w:sz w:val="22"/>
          <w:szCs w:val="22"/>
          <w:lang w:val="sr-Latn-CS"/>
        </w:rPr>
        <w:t xml:space="preserve">Estimated value for </w:t>
      </w:r>
      <w:r w:rsidR="002A6D7A" w:rsidRPr="00BF44DD">
        <w:rPr>
          <w:sz w:val="22"/>
          <w:szCs w:val="22"/>
          <w:lang w:val="en-GB"/>
        </w:rPr>
        <w:t xml:space="preserve">Procurement </w:t>
      </w:r>
      <w:r w:rsidR="00396498" w:rsidRPr="00396498">
        <w:rPr>
          <w:sz w:val="22"/>
          <w:szCs w:val="22"/>
          <w:lang w:val="en-GB"/>
        </w:rPr>
        <w:t>of consumables for the research projects</w:t>
      </w:r>
      <w:r w:rsidR="00A26EF9">
        <w:rPr>
          <w:sz w:val="22"/>
          <w:szCs w:val="22"/>
          <w:lang w:val="en-GB"/>
        </w:rPr>
        <w:t xml:space="preserve">, per lots and total, </w:t>
      </w:r>
      <w:r w:rsidR="002A6D7A" w:rsidRPr="00BF44DD">
        <w:rPr>
          <w:sz w:val="22"/>
          <w:szCs w:val="22"/>
          <w:lang w:val="en-GB"/>
        </w:rPr>
        <w:t xml:space="preserve">is </w:t>
      </w:r>
      <w:r w:rsidR="00396498">
        <w:rPr>
          <w:sz w:val="22"/>
          <w:szCs w:val="22"/>
          <w:lang w:val="en-US"/>
        </w:rPr>
        <w:t xml:space="preserve">presented in the </w:t>
      </w:r>
      <w:r w:rsidR="00561AA1">
        <w:rPr>
          <w:sz w:val="22"/>
          <w:szCs w:val="22"/>
          <w:lang w:val="en-US"/>
        </w:rPr>
        <w:t>Table report</w:t>
      </w:r>
      <w:r w:rsidRPr="00BF44DD">
        <w:rPr>
          <w:sz w:val="22"/>
          <w:szCs w:val="22"/>
          <w:lang w:val="en-GB"/>
        </w:rPr>
        <w:t>.</w:t>
      </w:r>
    </w:p>
    <w:p w:rsidR="00C048D8" w:rsidRPr="00BF44DD" w:rsidRDefault="00C048D8" w:rsidP="00C048D8">
      <w:pPr>
        <w:pStyle w:val="ListParagraph"/>
        <w:ind w:left="0"/>
        <w:jc w:val="both"/>
        <w:rPr>
          <w:sz w:val="22"/>
          <w:szCs w:val="22"/>
        </w:rPr>
      </w:pPr>
    </w:p>
    <w:p w:rsidR="00C048D8" w:rsidRPr="00BF44DD" w:rsidRDefault="00C048D8" w:rsidP="00C048D8">
      <w:pPr>
        <w:pStyle w:val="Header"/>
        <w:tabs>
          <w:tab w:val="right" w:pos="0"/>
        </w:tabs>
        <w:jc w:val="both"/>
        <w:rPr>
          <w:bCs/>
          <w:iCs/>
          <w:sz w:val="22"/>
          <w:szCs w:val="22"/>
          <w:lang w:val="sr-Cyrl-CS"/>
        </w:rPr>
      </w:pPr>
      <w:r w:rsidRPr="00BF44DD">
        <w:rPr>
          <w:bCs/>
          <w:iCs/>
          <w:sz w:val="22"/>
          <w:szCs w:val="22"/>
          <w:lang w:val="en-GB"/>
        </w:rPr>
        <w:t xml:space="preserve">The Public Invitation for Tenders was published in the </w:t>
      </w:r>
      <w:r w:rsidRPr="00BF44DD">
        <w:rPr>
          <w:bCs/>
          <w:i/>
          <w:iCs/>
          <w:sz w:val="22"/>
          <w:szCs w:val="22"/>
          <w:lang w:val="en-GB"/>
        </w:rPr>
        <w:t xml:space="preserve">Official Gazette of the Republic of Serbia </w:t>
      </w:r>
      <w:r w:rsidR="00E93ACF" w:rsidRPr="00BF44DD">
        <w:rPr>
          <w:bCs/>
          <w:iCs/>
          <w:sz w:val="22"/>
          <w:szCs w:val="22"/>
          <w:lang w:val="en-GB"/>
        </w:rPr>
        <w:t>No. 088/11 of 24</w:t>
      </w:r>
      <w:r w:rsidRPr="00BF44DD">
        <w:rPr>
          <w:bCs/>
          <w:iCs/>
          <w:sz w:val="22"/>
          <w:szCs w:val="22"/>
          <w:vertAlign w:val="superscript"/>
          <w:lang w:val="en-GB"/>
        </w:rPr>
        <w:t>th</w:t>
      </w:r>
      <w:r w:rsidR="00E93ACF" w:rsidRPr="00BF44DD">
        <w:rPr>
          <w:bCs/>
          <w:iCs/>
          <w:sz w:val="22"/>
          <w:szCs w:val="22"/>
          <w:lang w:val="en-GB"/>
        </w:rPr>
        <w:t xml:space="preserve"> November</w:t>
      </w:r>
      <w:r w:rsidRPr="00BF44DD">
        <w:rPr>
          <w:bCs/>
          <w:iCs/>
          <w:sz w:val="22"/>
          <w:szCs w:val="22"/>
          <w:lang w:val="en-GB"/>
        </w:rPr>
        <w:t xml:space="preserve"> 2011</w:t>
      </w:r>
      <w:r w:rsidR="00A26EF9">
        <w:rPr>
          <w:bCs/>
          <w:iCs/>
          <w:sz w:val="22"/>
          <w:szCs w:val="22"/>
          <w:lang w:val="en-GB"/>
        </w:rPr>
        <w:t>,</w:t>
      </w:r>
      <w:r w:rsidRPr="00BF44DD">
        <w:rPr>
          <w:bCs/>
          <w:iCs/>
          <w:sz w:val="22"/>
          <w:szCs w:val="22"/>
          <w:lang w:val="en-GB"/>
        </w:rPr>
        <w:t xml:space="preserve"> </w:t>
      </w:r>
      <w:r w:rsidRPr="00BF44DD">
        <w:rPr>
          <w:bCs/>
          <w:i/>
          <w:iCs/>
          <w:sz w:val="22"/>
          <w:szCs w:val="22"/>
          <w:lang w:val="en-GB"/>
        </w:rPr>
        <w:t>Official Journal of the European Union</w:t>
      </w:r>
      <w:r w:rsidR="00A26EF9">
        <w:rPr>
          <w:bCs/>
          <w:i/>
          <w:iCs/>
          <w:sz w:val="22"/>
          <w:szCs w:val="22"/>
          <w:lang w:val="en-GB"/>
        </w:rPr>
        <w:t xml:space="preserve"> </w:t>
      </w:r>
      <w:r w:rsidR="00A26EF9" w:rsidRPr="00A26EF9">
        <w:rPr>
          <w:bCs/>
          <w:iCs/>
          <w:sz w:val="22"/>
          <w:szCs w:val="22"/>
          <w:lang w:val="en-GB"/>
        </w:rPr>
        <w:t>and</w:t>
      </w:r>
      <w:r w:rsidR="00A26EF9">
        <w:rPr>
          <w:bCs/>
          <w:i/>
          <w:iCs/>
          <w:sz w:val="22"/>
          <w:szCs w:val="22"/>
          <w:lang w:val="en-GB"/>
        </w:rPr>
        <w:t xml:space="preserve"> the </w:t>
      </w:r>
      <w:r w:rsidR="000C6D8C">
        <w:rPr>
          <w:bCs/>
          <w:i/>
          <w:iCs/>
          <w:sz w:val="22"/>
          <w:szCs w:val="22"/>
          <w:lang w:val="en-GB"/>
        </w:rPr>
        <w:t>Employer’s</w:t>
      </w:r>
      <w:r w:rsidR="00A26EF9">
        <w:rPr>
          <w:bCs/>
          <w:i/>
          <w:iCs/>
          <w:sz w:val="22"/>
          <w:szCs w:val="22"/>
          <w:lang w:val="en-GB"/>
        </w:rPr>
        <w:t xml:space="preserve"> Web site</w:t>
      </w:r>
      <w:r w:rsidRPr="00BF44DD">
        <w:rPr>
          <w:bCs/>
          <w:i/>
          <w:iCs/>
          <w:sz w:val="22"/>
          <w:szCs w:val="22"/>
          <w:lang w:val="en-GB"/>
        </w:rPr>
        <w:t>.</w:t>
      </w:r>
      <w:r w:rsidRPr="00BF44DD">
        <w:rPr>
          <w:bCs/>
          <w:iCs/>
          <w:sz w:val="22"/>
          <w:szCs w:val="22"/>
          <w:lang w:val="sr-Cyrl-CS"/>
        </w:rPr>
        <w:t xml:space="preserve"> </w:t>
      </w:r>
    </w:p>
    <w:p w:rsidR="003106D3" w:rsidRPr="00BF44DD" w:rsidRDefault="003106D3" w:rsidP="004B309D">
      <w:pPr>
        <w:pStyle w:val="Header"/>
        <w:jc w:val="both"/>
        <w:rPr>
          <w:sz w:val="22"/>
          <w:szCs w:val="22"/>
        </w:rPr>
      </w:pPr>
    </w:p>
    <w:p w:rsidR="00E93ACF" w:rsidRPr="00BF44DD" w:rsidRDefault="00E93ACF" w:rsidP="00772D0A">
      <w:pPr>
        <w:spacing w:after="120"/>
        <w:jc w:val="both"/>
        <w:rPr>
          <w:sz w:val="22"/>
          <w:szCs w:val="22"/>
          <w:lang w:val="sr-Cyrl-CS"/>
        </w:rPr>
      </w:pPr>
      <w:r w:rsidRPr="00BF44DD">
        <w:rPr>
          <w:sz w:val="22"/>
          <w:szCs w:val="22"/>
          <w:lang w:val="en-GB"/>
        </w:rPr>
        <w:t>The bid opening procedure</w:t>
      </w:r>
      <w:r w:rsidR="00845E7D" w:rsidRPr="00BF44DD">
        <w:rPr>
          <w:sz w:val="22"/>
          <w:szCs w:val="22"/>
          <w:lang w:val="en-GB"/>
        </w:rPr>
        <w:t>s were</w:t>
      </w:r>
      <w:r w:rsidRPr="00BF44DD">
        <w:rPr>
          <w:sz w:val="22"/>
          <w:szCs w:val="22"/>
          <w:lang w:val="en-GB"/>
        </w:rPr>
        <w:t xml:space="preserve"> conducted in the </w:t>
      </w:r>
      <w:r w:rsidR="00B93FB5">
        <w:rPr>
          <w:sz w:val="22"/>
          <w:szCs w:val="22"/>
          <w:lang w:val="en-GB"/>
        </w:rPr>
        <w:t>Employer’</w:t>
      </w:r>
      <w:r w:rsidR="00B93FB5">
        <w:rPr>
          <w:sz w:val="22"/>
          <w:szCs w:val="22"/>
          <w:lang w:val="sr-Latn-CS"/>
        </w:rPr>
        <w:t>s</w:t>
      </w:r>
      <w:r w:rsidRPr="00BF44DD">
        <w:rPr>
          <w:sz w:val="22"/>
          <w:szCs w:val="22"/>
          <w:lang w:val="en-GB"/>
        </w:rPr>
        <w:t xml:space="preserve"> premises, PIU Research and Development Ltd., Belgrade, Makenzijeva St. No. 24 </w:t>
      </w:r>
      <w:r w:rsidR="005965BA" w:rsidRPr="00BF44DD">
        <w:rPr>
          <w:sz w:val="22"/>
          <w:szCs w:val="22"/>
          <w:lang w:val="en-GB"/>
        </w:rPr>
        <w:t>between</w:t>
      </w:r>
      <w:r w:rsidR="00845E7D" w:rsidRPr="00BF44DD">
        <w:rPr>
          <w:sz w:val="22"/>
          <w:szCs w:val="22"/>
          <w:lang w:val="en-GB"/>
        </w:rPr>
        <w:t xml:space="preserve"> </w:t>
      </w:r>
      <w:r w:rsidR="00772D0A" w:rsidRPr="00BF44DD">
        <w:rPr>
          <w:sz w:val="22"/>
          <w:szCs w:val="22"/>
          <w:lang w:val="en-GB"/>
        </w:rPr>
        <w:t>16</w:t>
      </w:r>
      <w:r w:rsidR="00772D0A" w:rsidRPr="00BF44DD">
        <w:rPr>
          <w:sz w:val="22"/>
          <w:szCs w:val="22"/>
          <w:vertAlign w:val="superscript"/>
          <w:lang w:val="en-GB"/>
        </w:rPr>
        <w:t xml:space="preserve">th </w:t>
      </w:r>
      <w:r w:rsidR="00772D0A" w:rsidRPr="00BF44DD">
        <w:rPr>
          <w:sz w:val="22"/>
          <w:szCs w:val="22"/>
          <w:lang w:val="en-GB"/>
        </w:rPr>
        <w:t>through</w:t>
      </w:r>
      <w:r w:rsidR="00845E7D" w:rsidRPr="00BF44DD">
        <w:rPr>
          <w:sz w:val="22"/>
          <w:szCs w:val="22"/>
          <w:lang w:val="en-GB"/>
        </w:rPr>
        <w:t xml:space="preserve"> 23</w:t>
      </w:r>
      <w:r w:rsidR="00845E7D" w:rsidRPr="00BF44DD">
        <w:rPr>
          <w:sz w:val="22"/>
          <w:szCs w:val="22"/>
          <w:vertAlign w:val="superscript"/>
          <w:lang w:val="en-GB"/>
        </w:rPr>
        <w:t>rd</w:t>
      </w:r>
      <w:r w:rsidR="00845E7D" w:rsidRPr="00BF44DD">
        <w:rPr>
          <w:sz w:val="22"/>
          <w:szCs w:val="22"/>
          <w:lang w:val="en-GB"/>
        </w:rPr>
        <w:t xml:space="preserve"> January 2012</w:t>
      </w:r>
      <w:r w:rsidR="00772D0A">
        <w:rPr>
          <w:sz w:val="22"/>
          <w:szCs w:val="22"/>
          <w:lang w:val="en-GB"/>
        </w:rPr>
        <w:t xml:space="preserve"> starting at 1:00 p.m</w:t>
      </w:r>
      <w:r w:rsidRPr="00BF44DD">
        <w:rPr>
          <w:sz w:val="22"/>
          <w:szCs w:val="22"/>
          <w:lang w:val="en-GB"/>
        </w:rPr>
        <w:t>, by a Tender Commission established under the Commissi</w:t>
      </w:r>
      <w:r w:rsidR="00E963C5" w:rsidRPr="00BF44DD">
        <w:rPr>
          <w:sz w:val="22"/>
          <w:szCs w:val="22"/>
          <w:lang w:val="en-GB"/>
        </w:rPr>
        <w:t>on Establishing Decision No. 2182 of 15</w:t>
      </w:r>
      <w:r w:rsidRPr="00BF44DD">
        <w:rPr>
          <w:sz w:val="22"/>
          <w:szCs w:val="22"/>
          <w:vertAlign w:val="superscript"/>
          <w:lang w:val="en-GB"/>
        </w:rPr>
        <w:t>th</w:t>
      </w:r>
      <w:r w:rsidRPr="00BF44DD">
        <w:rPr>
          <w:sz w:val="22"/>
          <w:szCs w:val="22"/>
          <w:lang w:val="en-GB"/>
        </w:rPr>
        <w:t xml:space="preserve"> </w:t>
      </w:r>
      <w:r w:rsidR="00E963C5" w:rsidRPr="00BF44DD">
        <w:rPr>
          <w:sz w:val="22"/>
          <w:szCs w:val="22"/>
          <w:lang w:val="en-GB"/>
        </w:rPr>
        <w:t>November</w:t>
      </w:r>
      <w:r w:rsidRPr="00BF44DD">
        <w:rPr>
          <w:sz w:val="22"/>
          <w:szCs w:val="22"/>
          <w:lang w:val="en-GB"/>
        </w:rPr>
        <w:t xml:space="preserve"> 2011 with the following composition:</w:t>
      </w:r>
    </w:p>
    <w:p w:rsidR="003572BF" w:rsidRPr="00BF44DD" w:rsidRDefault="003572BF" w:rsidP="00772D0A">
      <w:pPr>
        <w:numPr>
          <w:ilvl w:val="0"/>
          <w:numId w:val="38"/>
        </w:numPr>
        <w:ind w:left="1440" w:hanging="540"/>
        <w:rPr>
          <w:sz w:val="22"/>
          <w:szCs w:val="22"/>
          <w:lang w:val="sr-Cyrl-CS"/>
        </w:rPr>
      </w:pPr>
      <w:r w:rsidRPr="00BF44DD">
        <w:rPr>
          <w:sz w:val="22"/>
          <w:szCs w:val="22"/>
        </w:rPr>
        <w:t>Miloš Vojnović</w:t>
      </w:r>
      <w:r w:rsidR="00E963C5" w:rsidRPr="00BF44DD">
        <w:rPr>
          <w:sz w:val="22"/>
          <w:szCs w:val="22"/>
          <w:lang w:val="sr-Cyrl-CS"/>
        </w:rPr>
        <w:t xml:space="preserve">, </w:t>
      </w:r>
      <w:r w:rsidR="00E963C5" w:rsidRPr="00BF44DD">
        <w:rPr>
          <w:sz w:val="22"/>
          <w:szCs w:val="22"/>
        </w:rPr>
        <w:t>Bachelor of Economics</w:t>
      </w:r>
      <w:r w:rsidR="00E963C5" w:rsidRPr="00BF44DD">
        <w:rPr>
          <w:sz w:val="22"/>
          <w:szCs w:val="22"/>
          <w:lang w:val="sr-Cyrl-CS"/>
        </w:rPr>
        <w:t xml:space="preserve"> – </w:t>
      </w:r>
      <w:r w:rsidR="00E963C5" w:rsidRPr="00BF44DD">
        <w:rPr>
          <w:sz w:val="22"/>
          <w:szCs w:val="22"/>
        </w:rPr>
        <w:t>President</w:t>
      </w:r>
    </w:p>
    <w:p w:rsidR="00E963C5" w:rsidRPr="00BF44DD" w:rsidRDefault="00E963C5" w:rsidP="00772D0A">
      <w:pPr>
        <w:numPr>
          <w:ilvl w:val="0"/>
          <w:numId w:val="38"/>
        </w:numPr>
        <w:spacing w:after="120"/>
        <w:ind w:left="1440" w:hanging="540"/>
        <w:rPr>
          <w:sz w:val="22"/>
          <w:szCs w:val="22"/>
          <w:lang w:val="sr-Cyrl-CS"/>
        </w:rPr>
      </w:pPr>
      <w:r w:rsidRPr="00BF44DD">
        <w:rPr>
          <w:sz w:val="22"/>
          <w:szCs w:val="22"/>
          <w:lang w:val="sr-Cyrl-CS"/>
        </w:rPr>
        <w:t>Ta</w:t>
      </w:r>
      <w:r w:rsidRPr="00BF44DD">
        <w:rPr>
          <w:sz w:val="22"/>
          <w:szCs w:val="22"/>
        </w:rPr>
        <w:t>tjana</w:t>
      </w:r>
      <w:r w:rsidR="00B005AB" w:rsidRPr="00BF44DD">
        <w:rPr>
          <w:sz w:val="22"/>
          <w:szCs w:val="22"/>
          <w:lang w:val="sr-Cyrl-CS"/>
        </w:rPr>
        <w:t xml:space="preserve"> Božić, </w:t>
      </w:r>
      <w:r w:rsidR="00B005AB" w:rsidRPr="00BF44DD">
        <w:rPr>
          <w:sz w:val="22"/>
          <w:szCs w:val="22"/>
        </w:rPr>
        <w:t>M</w:t>
      </w:r>
      <w:r w:rsidRPr="00BF44DD">
        <w:rPr>
          <w:sz w:val="22"/>
          <w:szCs w:val="22"/>
          <w:lang w:val="sr-Cyrl-CS"/>
        </w:rPr>
        <w:t>a</w:t>
      </w:r>
      <w:r w:rsidRPr="00BF44DD">
        <w:rPr>
          <w:sz w:val="22"/>
          <w:szCs w:val="22"/>
        </w:rPr>
        <w:t>ster of Chemistry</w:t>
      </w:r>
      <w:r w:rsidR="003572BF" w:rsidRPr="00BF44DD">
        <w:rPr>
          <w:sz w:val="22"/>
          <w:szCs w:val="22"/>
          <w:lang w:val="sr-Cyrl-CS"/>
        </w:rPr>
        <w:t xml:space="preserve"> – </w:t>
      </w:r>
      <w:r w:rsidRPr="00BF44DD">
        <w:rPr>
          <w:sz w:val="22"/>
          <w:szCs w:val="22"/>
          <w:lang w:val="en-GB"/>
        </w:rPr>
        <w:t>Member – Deputy President</w:t>
      </w:r>
    </w:p>
    <w:p w:rsidR="003572BF" w:rsidRPr="00BF44DD" w:rsidRDefault="00E963C5" w:rsidP="00772D0A">
      <w:pPr>
        <w:spacing w:after="120"/>
        <w:rPr>
          <w:sz w:val="22"/>
          <w:szCs w:val="22"/>
          <w:lang w:val="sr-Cyrl-CS"/>
        </w:rPr>
      </w:pPr>
      <w:r w:rsidRPr="00BF44DD">
        <w:rPr>
          <w:sz w:val="22"/>
          <w:szCs w:val="22"/>
        </w:rPr>
        <w:t>Sub</w:t>
      </w:r>
      <w:r w:rsidRPr="00BF44DD">
        <w:rPr>
          <w:sz w:val="22"/>
          <w:szCs w:val="22"/>
          <w:lang w:val="en-GB"/>
        </w:rPr>
        <w:t>commission</w:t>
      </w:r>
      <w:r w:rsidR="003572BF" w:rsidRPr="00BF44DD">
        <w:rPr>
          <w:sz w:val="22"/>
          <w:szCs w:val="22"/>
          <w:lang w:val="sr-Cyrl-CS"/>
        </w:rPr>
        <w:t xml:space="preserve"> 1:</w:t>
      </w:r>
    </w:p>
    <w:p w:rsidR="003572BF" w:rsidRPr="00BF44DD" w:rsidRDefault="003572BF" w:rsidP="00772D0A">
      <w:pPr>
        <w:pStyle w:val="ListParagraph"/>
        <w:numPr>
          <w:ilvl w:val="0"/>
          <w:numId w:val="44"/>
        </w:numPr>
        <w:ind w:left="900" w:firstLine="0"/>
        <w:rPr>
          <w:sz w:val="22"/>
          <w:szCs w:val="22"/>
        </w:rPr>
      </w:pPr>
      <w:r w:rsidRPr="00BF44DD">
        <w:rPr>
          <w:sz w:val="22"/>
          <w:szCs w:val="22"/>
        </w:rPr>
        <w:t xml:space="preserve">Jelena Petrović, </w:t>
      </w:r>
      <w:r w:rsidR="00E963C5" w:rsidRPr="00BF44DD">
        <w:rPr>
          <w:sz w:val="22"/>
          <w:szCs w:val="22"/>
          <w:lang w:val="en-GB"/>
        </w:rPr>
        <w:t xml:space="preserve">Bachelor of Law </w:t>
      </w:r>
      <w:r w:rsidR="00E963C5" w:rsidRPr="00BF44DD">
        <w:rPr>
          <w:sz w:val="22"/>
          <w:szCs w:val="22"/>
        </w:rPr>
        <w:t>– Member coordinator</w:t>
      </w:r>
    </w:p>
    <w:p w:rsidR="003572BF" w:rsidRPr="00BF44DD" w:rsidRDefault="003572BF" w:rsidP="00772D0A">
      <w:pPr>
        <w:pStyle w:val="ListParagraph"/>
        <w:numPr>
          <w:ilvl w:val="0"/>
          <w:numId w:val="44"/>
        </w:numPr>
        <w:ind w:left="900" w:firstLine="0"/>
        <w:rPr>
          <w:sz w:val="22"/>
          <w:szCs w:val="22"/>
        </w:rPr>
      </w:pPr>
      <w:r w:rsidRPr="00BF44DD">
        <w:rPr>
          <w:sz w:val="22"/>
          <w:szCs w:val="22"/>
        </w:rPr>
        <w:t xml:space="preserve">Ljiljana Maravić, </w:t>
      </w:r>
      <w:r w:rsidR="00E963C5" w:rsidRPr="00BF44DD">
        <w:rPr>
          <w:sz w:val="22"/>
          <w:szCs w:val="22"/>
        </w:rPr>
        <w:t>Bachelor of Economics – Member</w:t>
      </w:r>
    </w:p>
    <w:p w:rsidR="003572BF" w:rsidRPr="00BF44DD" w:rsidRDefault="003572BF" w:rsidP="002414DB">
      <w:pPr>
        <w:pStyle w:val="ListParagraph"/>
        <w:numPr>
          <w:ilvl w:val="0"/>
          <w:numId w:val="44"/>
        </w:numPr>
        <w:spacing w:after="120"/>
        <w:ind w:left="900" w:firstLine="0"/>
        <w:rPr>
          <w:sz w:val="22"/>
          <w:szCs w:val="22"/>
        </w:rPr>
      </w:pPr>
      <w:r w:rsidRPr="00BF44DD">
        <w:rPr>
          <w:sz w:val="22"/>
          <w:szCs w:val="22"/>
        </w:rPr>
        <w:t>Voj</w:t>
      </w:r>
      <w:r w:rsidR="00B005AB" w:rsidRPr="00BF44DD">
        <w:rPr>
          <w:sz w:val="22"/>
          <w:szCs w:val="22"/>
        </w:rPr>
        <w:t>islav Blagojević, referent– Member</w:t>
      </w:r>
    </w:p>
    <w:p w:rsidR="0097363C" w:rsidRPr="00BF44DD" w:rsidRDefault="0097363C" w:rsidP="00772D0A">
      <w:pPr>
        <w:spacing w:after="120"/>
        <w:rPr>
          <w:sz w:val="22"/>
          <w:szCs w:val="22"/>
          <w:lang w:val="sr-Cyrl-CS"/>
        </w:rPr>
      </w:pPr>
      <w:r w:rsidRPr="00BF44DD">
        <w:rPr>
          <w:sz w:val="22"/>
          <w:szCs w:val="22"/>
        </w:rPr>
        <w:t>Sub</w:t>
      </w:r>
      <w:r w:rsidRPr="00BF44DD">
        <w:rPr>
          <w:sz w:val="22"/>
          <w:szCs w:val="22"/>
          <w:lang w:val="en-GB"/>
        </w:rPr>
        <w:t>commission</w:t>
      </w:r>
      <w:r w:rsidRPr="00BF44DD">
        <w:rPr>
          <w:sz w:val="22"/>
          <w:szCs w:val="22"/>
          <w:lang w:val="sr-Cyrl-CS"/>
        </w:rPr>
        <w:t xml:space="preserve"> </w:t>
      </w:r>
      <w:r w:rsidRPr="00BF44DD">
        <w:rPr>
          <w:sz w:val="22"/>
          <w:szCs w:val="22"/>
        </w:rPr>
        <w:t>2</w:t>
      </w:r>
      <w:r w:rsidRPr="00BF44DD">
        <w:rPr>
          <w:sz w:val="22"/>
          <w:szCs w:val="22"/>
          <w:lang w:val="sr-Cyrl-CS"/>
        </w:rPr>
        <w:t>:</w:t>
      </w:r>
    </w:p>
    <w:p w:rsidR="003572BF" w:rsidRPr="00BF44DD" w:rsidRDefault="0097363C" w:rsidP="00772D0A">
      <w:pPr>
        <w:pStyle w:val="ListParagraph"/>
        <w:numPr>
          <w:ilvl w:val="0"/>
          <w:numId w:val="44"/>
        </w:numPr>
        <w:ind w:left="1440" w:hanging="540"/>
        <w:rPr>
          <w:sz w:val="22"/>
          <w:szCs w:val="22"/>
        </w:rPr>
      </w:pPr>
      <w:r w:rsidRPr="00BF44DD">
        <w:rPr>
          <w:sz w:val="22"/>
          <w:szCs w:val="22"/>
        </w:rPr>
        <w:t>Maja Babić, lawyer</w:t>
      </w:r>
      <w:r w:rsidR="003572BF" w:rsidRPr="00BF44DD">
        <w:rPr>
          <w:sz w:val="22"/>
          <w:szCs w:val="22"/>
        </w:rPr>
        <w:t xml:space="preserve"> – </w:t>
      </w:r>
      <w:r w:rsidRPr="00BF44DD">
        <w:rPr>
          <w:sz w:val="22"/>
          <w:szCs w:val="22"/>
        </w:rPr>
        <w:t>Member coordinator</w:t>
      </w:r>
    </w:p>
    <w:p w:rsidR="003572BF" w:rsidRPr="00BF44DD" w:rsidRDefault="003572BF" w:rsidP="00772D0A">
      <w:pPr>
        <w:pStyle w:val="ListParagraph"/>
        <w:numPr>
          <w:ilvl w:val="0"/>
          <w:numId w:val="45"/>
        </w:numPr>
        <w:ind w:left="1440" w:hanging="540"/>
        <w:rPr>
          <w:sz w:val="22"/>
          <w:szCs w:val="22"/>
        </w:rPr>
      </w:pPr>
      <w:r w:rsidRPr="00BF44DD">
        <w:rPr>
          <w:sz w:val="22"/>
          <w:szCs w:val="22"/>
        </w:rPr>
        <w:t xml:space="preserve">Milica Radojčić, </w:t>
      </w:r>
      <w:r w:rsidR="0097363C" w:rsidRPr="00BF44DD">
        <w:rPr>
          <w:sz w:val="22"/>
          <w:szCs w:val="22"/>
        </w:rPr>
        <w:t>Bachelor of Traffic</w:t>
      </w:r>
      <w:r w:rsidR="0073534C" w:rsidRPr="00BF44DD">
        <w:rPr>
          <w:sz w:val="22"/>
          <w:szCs w:val="22"/>
        </w:rPr>
        <w:t>– Member</w:t>
      </w:r>
    </w:p>
    <w:p w:rsidR="003572BF" w:rsidRPr="00BF44DD" w:rsidRDefault="003572BF" w:rsidP="00772D0A">
      <w:pPr>
        <w:pStyle w:val="ListParagraph"/>
        <w:numPr>
          <w:ilvl w:val="0"/>
          <w:numId w:val="45"/>
        </w:numPr>
        <w:ind w:left="1440" w:hanging="540"/>
        <w:rPr>
          <w:sz w:val="22"/>
          <w:szCs w:val="22"/>
        </w:rPr>
      </w:pPr>
      <w:r w:rsidRPr="00BF44DD">
        <w:rPr>
          <w:sz w:val="22"/>
          <w:szCs w:val="22"/>
        </w:rPr>
        <w:t>Jel</w:t>
      </w:r>
      <w:r w:rsidR="00734F8B" w:rsidRPr="00BF44DD">
        <w:rPr>
          <w:sz w:val="22"/>
          <w:szCs w:val="22"/>
        </w:rPr>
        <w:t>ena Planić, Bachelor of Organizational Sciences</w:t>
      </w:r>
      <w:r w:rsidR="0073534C" w:rsidRPr="00BF44DD">
        <w:rPr>
          <w:sz w:val="22"/>
          <w:szCs w:val="22"/>
        </w:rPr>
        <w:t>– Member</w:t>
      </w:r>
    </w:p>
    <w:p w:rsidR="006B618B" w:rsidRDefault="006B618B" w:rsidP="002F7779">
      <w:pPr>
        <w:ind w:left="1080"/>
        <w:jc w:val="both"/>
        <w:rPr>
          <w:sz w:val="22"/>
          <w:szCs w:val="22"/>
        </w:rPr>
      </w:pPr>
    </w:p>
    <w:p w:rsidR="0091555B" w:rsidRDefault="0091555B" w:rsidP="002F7779">
      <w:pPr>
        <w:ind w:left="1080"/>
        <w:jc w:val="both"/>
        <w:rPr>
          <w:sz w:val="22"/>
          <w:szCs w:val="22"/>
          <w:lang w:val="en-GB"/>
        </w:rPr>
      </w:pPr>
      <w:r w:rsidRPr="00BF44DD">
        <w:rPr>
          <w:sz w:val="22"/>
          <w:szCs w:val="22"/>
          <w:lang w:val="sr-Cyrl-CS"/>
        </w:rPr>
        <w:t xml:space="preserve">Olgica Mićović, referent </w:t>
      </w:r>
      <w:r w:rsidRPr="00BF44DD">
        <w:rPr>
          <w:sz w:val="22"/>
          <w:szCs w:val="22"/>
        </w:rPr>
        <w:t>and</w:t>
      </w:r>
      <w:r w:rsidR="003572BF" w:rsidRPr="00BF44DD">
        <w:rPr>
          <w:sz w:val="22"/>
          <w:szCs w:val="22"/>
          <w:lang w:val="sr-Cyrl-CS"/>
        </w:rPr>
        <w:t xml:space="preserve"> Marija Vuksanović,  </w:t>
      </w:r>
      <w:r w:rsidRPr="00BF44DD">
        <w:rPr>
          <w:sz w:val="22"/>
          <w:szCs w:val="22"/>
        </w:rPr>
        <w:t>Bachelor of Economics</w:t>
      </w:r>
      <w:r w:rsidR="00B005AB" w:rsidRPr="00BF44DD">
        <w:rPr>
          <w:sz w:val="22"/>
          <w:szCs w:val="22"/>
        </w:rPr>
        <w:t>,</w:t>
      </w:r>
      <w:r w:rsidRPr="00BF44DD">
        <w:rPr>
          <w:sz w:val="22"/>
          <w:szCs w:val="22"/>
          <w:lang w:val="sr-Cyrl-CS"/>
        </w:rPr>
        <w:t xml:space="preserve"> </w:t>
      </w:r>
      <w:r w:rsidRPr="00BF44DD">
        <w:rPr>
          <w:sz w:val="22"/>
          <w:szCs w:val="22"/>
          <w:lang w:val="en-GB"/>
        </w:rPr>
        <w:t>Commission Secretaries.</w:t>
      </w:r>
    </w:p>
    <w:p w:rsidR="003C34F3" w:rsidRDefault="003C34F3" w:rsidP="002F7779">
      <w:pPr>
        <w:ind w:firstLine="720"/>
        <w:jc w:val="both"/>
        <w:rPr>
          <w:sz w:val="22"/>
          <w:szCs w:val="22"/>
        </w:rPr>
      </w:pPr>
    </w:p>
    <w:p w:rsidR="00525FF7" w:rsidRDefault="0091555B" w:rsidP="003C34F3">
      <w:pPr>
        <w:spacing w:after="120"/>
        <w:jc w:val="both"/>
        <w:rPr>
          <w:sz w:val="22"/>
          <w:szCs w:val="22"/>
          <w:lang w:val="en-GB"/>
        </w:rPr>
      </w:pPr>
      <w:r w:rsidRPr="00BF44DD">
        <w:rPr>
          <w:sz w:val="22"/>
          <w:szCs w:val="22"/>
          <w:lang w:val="en-GB"/>
        </w:rPr>
        <w:t xml:space="preserve">The conducted procedures of opening of the bids were recorded in the Minutes on the Opening of Bids No. </w:t>
      </w:r>
      <w:r w:rsidRPr="00BF44DD">
        <w:rPr>
          <w:sz w:val="22"/>
          <w:szCs w:val="22"/>
        </w:rPr>
        <w:t>147 and 148</w:t>
      </w:r>
      <w:r w:rsidRPr="00BF44DD">
        <w:rPr>
          <w:sz w:val="22"/>
          <w:szCs w:val="22"/>
          <w:lang w:val="en-GB"/>
        </w:rPr>
        <w:t xml:space="preserve"> of 16</w:t>
      </w:r>
      <w:r w:rsidRPr="00BF44DD">
        <w:rPr>
          <w:sz w:val="22"/>
          <w:szCs w:val="22"/>
          <w:vertAlign w:val="superscript"/>
          <w:lang w:val="en-GB"/>
        </w:rPr>
        <w:t>th</w:t>
      </w:r>
      <w:r w:rsidRPr="00BF44DD">
        <w:rPr>
          <w:sz w:val="22"/>
          <w:szCs w:val="22"/>
          <w:lang w:val="en-GB"/>
        </w:rPr>
        <w:t xml:space="preserve"> of  January 2012;  </w:t>
      </w:r>
      <w:r w:rsidRPr="00BF44DD">
        <w:rPr>
          <w:sz w:val="22"/>
          <w:szCs w:val="22"/>
        </w:rPr>
        <w:t>218 and 219 of 17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279 and 280  of 18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341 and 342 of 19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384 and 385  of 20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453 and 454 of 23</w:t>
      </w:r>
      <w:r w:rsidRPr="00BF44DD">
        <w:rPr>
          <w:sz w:val="22"/>
          <w:szCs w:val="22"/>
          <w:vertAlign w:val="superscript"/>
        </w:rPr>
        <w:t>rd</w:t>
      </w:r>
      <w:r w:rsidRPr="00BF44DD">
        <w:rPr>
          <w:sz w:val="22"/>
          <w:szCs w:val="22"/>
        </w:rPr>
        <w:t xml:space="preserve"> of January 2012 </w:t>
      </w:r>
      <w:r w:rsidRPr="00BF44DD">
        <w:rPr>
          <w:sz w:val="22"/>
          <w:szCs w:val="22"/>
          <w:lang w:val="en-GB"/>
        </w:rPr>
        <w:t xml:space="preserve">kept and created by the Commission, which have been </w:t>
      </w:r>
      <w:r w:rsidR="00005AC7" w:rsidRPr="00BF44DD">
        <w:rPr>
          <w:sz w:val="22"/>
          <w:szCs w:val="22"/>
          <w:lang w:val="en-GB"/>
        </w:rPr>
        <w:t xml:space="preserve">published on the </w:t>
      </w:r>
      <w:r w:rsidR="000C6D8C">
        <w:rPr>
          <w:sz w:val="22"/>
          <w:szCs w:val="22"/>
          <w:lang w:val="en-GB"/>
        </w:rPr>
        <w:t>Employer</w:t>
      </w:r>
      <w:r w:rsidR="00005AC7" w:rsidRPr="00BF44DD">
        <w:rPr>
          <w:sz w:val="22"/>
          <w:szCs w:val="22"/>
          <w:lang w:val="en-GB"/>
        </w:rPr>
        <w:t>’s website,</w:t>
      </w:r>
      <w:r w:rsidRPr="00BF44DD">
        <w:rPr>
          <w:sz w:val="22"/>
          <w:szCs w:val="22"/>
          <w:lang w:val="en-GB"/>
        </w:rPr>
        <w:t xml:space="preserve"> are a constituent part of this Report</w:t>
      </w:r>
      <w:r w:rsidR="00005AC7" w:rsidRPr="00BF44DD">
        <w:rPr>
          <w:sz w:val="22"/>
          <w:szCs w:val="22"/>
          <w:lang w:val="en-GB"/>
        </w:rPr>
        <w:t>, and contain information about the following:</w:t>
      </w:r>
    </w:p>
    <w:p w:rsidR="005F0207" w:rsidRPr="00BF44DD" w:rsidRDefault="00005AC7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Date of the public opening</w:t>
      </w:r>
      <w:r w:rsidR="005F0207" w:rsidRPr="00BF44DD">
        <w:rPr>
          <w:sz w:val="22"/>
          <w:szCs w:val="22"/>
        </w:rPr>
        <w:t>;</w:t>
      </w:r>
    </w:p>
    <w:p w:rsidR="005F0207" w:rsidRPr="00BF44DD" w:rsidRDefault="00463F1D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Number, name and estimated value of a lot</w:t>
      </w:r>
      <w:r w:rsidR="00B005AB" w:rsidRPr="00BF44DD">
        <w:rPr>
          <w:sz w:val="22"/>
          <w:szCs w:val="22"/>
        </w:rPr>
        <w:t xml:space="preserve"> for which the</w:t>
      </w:r>
      <w:r w:rsidRPr="00BF44DD">
        <w:rPr>
          <w:sz w:val="22"/>
          <w:szCs w:val="22"/>
        </w:rPr>
        <w:t xml:space="preserve"> opening</w:t>
      </w:r>
      <w:r w:rsidR="00B005AB" w:rsidRPr="00BF44DD">
        <w:rPr>
          <w:sz w:val="22"/>
          <w:szCs w:val="22"/>
        </w:rPr>
        <w:t xml:space="preserve"> procedure had been carried out</w:t>
      </w:r>
      <w:r w:rsidR="005F0207" w:rsidRPr="00BF44DD">
        <w:rPr>
          <w:sz w:val="22"/>
          <w:szCs w:val="22"/>
        </w:rPr>
        <w:t>;</w:t>
      </w:r>
    </w:p>
    <w:p w:rsidR="005F0207" w:rsidRPr="00BF44DD" w:rsidRDefault="000F554F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lastRenderedPageBreak/>
        <w:t>Names of th</w:t>
      </w:r>
      <w:r w:rsidR="005C6392" w:rsidRPr="00BF44DD">
        <w:rPr>
          <w:sz w:val="22"/>
          <w:szCs w:val="22"/>
        </w:rPr>
        <w:t xml:space="preserve">e bidders whose bids </w:t>
      </w:r>
      <w:r w:rsidR="005C6392" w:rsidRPr="00BF44DD">
        <w:rPr>
          <w:sz w:val="22"/>
          <w:szCs w:val="22"/>
          <w:lang w:val="en-GB"/>
        </w:rPr>
        <w:t>were received in a timely manner</w:t>
      </w:r>
      <w:r w:rsidR="005F0207" w:rsidRPr="00BF44DD">
        <w:rPr>
          <w:sz w:val="22"/>
          <w:szCs w:val="22"/>
        </w:rPr>
        <w:t>;</w:t>
      </w:r>
    </w:p>
    <w:p w:rsidR="005F0207" w:rsidRPr="00BF44DD" w:rsidRDefault="00E245E3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Information</w:t>
      </w:r>
      <w:r w:rsidR="005F0207" w:rsidRPr="00BF44DD">
        <w:rPr>
          <w:sz w:val="22"/>
          <w:szCs w:val="22"/>
        </w:rPr>
        <w:t xml:space="preserve"> </w:t>
      </w:r>
      <w:r w:rsidR="00CA5E27" w:rsidRPr="00BF44DD">
        <w:rPr>
          <w:sz w:val="22"/>
          <w:szCs w:val="22"/>
        </w:rPr>
        <w:t xml:space="preserve">concerning the </w:t>
      </w:r>
      <w:r w:rsidR="00CA5E27" w:rsidRPr="00BF44DD">
        <w:rPr>
          <w:sz w:val="22"/>
          <w:szCs w:val="22"/>
          <w:lang w:val="en-GB"/>
        </w:rPr>
        <w:t>untimely bids</w:t>
      </w:r>
      <w:r w:rsidR="005F0207" w:rsidRPr="00BF44DD">
        <w:rPr>
          <w:sz w:val="22"/>
          <w:szCs w:val="22"/>
        </w:rPr>
        <w:t>;</w:t>
      </w:r>
    </w:p>
    <w:p w:rsidR="005F0207" w:rsidRPr="00BF44DD" w:rsidRDefault="00E245E3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 xml:space="preserve">Relevant information </w:t>
      </w:r>
      <w:r w:rsidRPr="00BF44DD">
        <w:rPr>
          <w:sz w:val="22"/>
          <w:szCs w:val="22"/>
          <w:lang w:val="en-GB"/>
        </w:rPr>
        <w:t>in the bid</w:t>
      </w:r>
      <w:r w:rsidR="005F0207" w:rsidRPr="00BF44DD">
        <w:rPr>
          <w:sz w:val="22"/>
          <w:szCs w:val="22"/>
        </w:rPr>
        <w:t>;</w:t>
      </w:r>
    </w:p>
    <w:p w:rsidR="005F0207" w:rsidRPr="00BF44DD" w:rsidRDefault="00884006" w:rsidP="005F0207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Commission’s remarks</w:t>
      </w:r>
      <w:r w:rsidR="005F0207" w:rsidRPr="00BF44DD">
        <w:rPr>
          <w:sz w:val="22"/>
          <w:szCs w:val="22"/>
        </w:rPr>
        <w:t>;</w:t>
      </w:r>
    </w:p>
    <w:p w:rsidR="00B7314B" w:rsidRPr="00BF44DD" w:rsidRDefault="00B7314B" w:rsidP="000B452A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Any remarks by the Bidders’ representatives related to the bid opening procedure;</w:t>
      </w:r>
    </w:p>
    <w:p w:rsidR="000B452A" w:rsidRPr="00BF44DD" w:rsidRDefault="00B7314B" w:rsidP="000B452A">
      <w:pPr>
        <w:numPr>
          <w:ilvl w:val="0"/>
          <w:numId w:val="47"/>
        </w:numPr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Signatures of the Bidders’ attending authorised representatives</w:t>
      </w:r>
      <w:r w:rsidR="00D810E8" w:rsidRPr="00BF44DD">
        <w:rPr>
          <w:sz w:val="22"/>
          <w:szCs w:val="22"/>
        </w:rPr>
        <w:t>.</w:t>
      </w:r>
    </w:p>
    <w:p w:rsidR="00D810E8" w:rsidRPr="00BF44DD" w:rsidRDefault="00D810E8" w:rsidP="00D810E8">
      <w:pPr>
        <w:ind w:left="720"/>
        <w:jc w:val="both"/>
        <w:rPr>
          <w:sz w:val="22"/>
          <w:szCs w:val="22"/>
        </w:rPr>
      </w:pPr>
    </w:p>
    <w:p w:rsidR="00227689" w:rsidRPr="00BF44DD" w:rsidRDefault="00227689" w:rsidP="00227689">
      <w:pPr>
        <w:spacing w:after="120"/>
        <w:ind w:left="720" w:hanging="720"/>
        <w:jc w:val="both"/>
        <w:rPr>
          <w:sz w:val="22"/>
          <w:szCs w:val="22"/>
        </w:rPr>
      </w:pPr>
      <w:r w:rsidRPr="00BF44DD">
        <w:rPr>
          <w:sz w:val="22"/>
          <w:szCs w:val="22"/>
        </w:rPr>
        <w:t xml:space="preserve">The Tender evaluation criterion is </w:t>
      </w:r>
      <w:r w:rsidRPr="00176646">
        <w:rPr>
          <w:sz w:val="22"/>
          <w:szCs w:val="22"/>
        </w:rPr>
        <w:t>lowest Evaluated Tender Price.</w:t>
      </w:r>
      <w:r w:rsidRPr="00BF44DD">
        <w:rPr>
          <w:sz w:val="22"/>
          <w:szCs w:val="22"/>
        </w:rPr>
        <w:t xml:space="preserve"> </w:t>
      </w:r>
    </w:p>
    <w:p w:rsidR="00F021EE" w:rsidRPr="00BF44DD" w:rsidRDefault="009D517D" w:rsidP="00176646">
      <w:pPr>
        <w:spacing w:after="120"/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 xml:space="preserve">The Commission carried out a procedure of reviewing and expert evaluating of the bids between </w:t>
      </w:r>
      <w:r w:rsidR="005965BA" w:rsidRPr="00BF44DD">
        <w:rPr>
          <w:sz w:val="22"/>
          <w:szCs w:val="22"/>
          <w:lang w:val="en-GB"/>
        </w:rPr>
        <w:t>16</w:t>
      </w:r>
      <w:r w:rsidR="005965BA" w:rsidRPr="00BF44DD">
        <w:rPr>
          <w:sz w:val="22"/>
          <w:szCs w:val="22"/>
          <w:vertAlign w:val="superscript"/>
          <w:lang w:val="en-GB"/>
        </w:rPr>
        <w:t>th</w:t>
      </w:r>
      <w:r w:rsidR="005965BA" w:rsidRPr="00BF44DD">
        <w:rPr>
          <w:sz w:val="22"/>
          <w:szCs w:val="22"/>
          <w:lang w:val="en-GB"/>
        </w:rPr>
        <w:t xml:space="preserve"> </w:t>
      </w:r>
      <w:r w:rsidRPr="00BF44DD">
        <w:rPr>
          <w:sz w:val="22"/>
          <w:szCs w:val="22"/>
          <w:lang w:val="en-GB"/>
        </w:rPr>
        <w:t>through</w:t>
      </w:r>
      <w:r w:rsidR="005965BA" w:rsidRPr="00BF44DD">
        <w:rPr>
          <w:sz w:val="22"/>
          <w:szCs w:val="22"/>
          <w:lang w:val="en-GB"/>
        </w:rPr>
        <w:t xml:space="preserve"> 31</w:t>
      </w:r>
      <w:r w:rsidR="005965BA" w:rsidRPr="00BF44DD">
        <w:rPr>
          <w:sz w:val="22"/>
          <w:szCs w:val="22"/>
          <w:vertAlign w:val="superscript"/>
          <w:lang w:val="en-GB"/>
        </w:rPr>
        <w:t>st</w:t>
      </w:r>
      <w:r w:rsidR="003C34F3">
        <w:rPr>
          <w:sz w:val="22"/>
          <w:szCs w:val="22"/>
          <w:lang w:val="en-GB"/>
        </w:rPr>
        <w:t xml:space="preserve">  Januar</w:t>
      </w:r>
      <w:r w:rsidR="005965BA" w:rsidRPr="00BF44DD">
        <w:rPr>
          <w:sz w:val="22"/>
          <w:szCs w:val="22"/>
          <w:lang w:val="en-GB"/>
        </w:rPr>
        <w:t>y 2012</w:t>
      </w:r>
      <w:r w:rsidRPr="00BF44DD">
        <w:rPr>
          <w:sz w:val="22"/>
          <w:szCs w:val="22"/>
          <w:lang w:val="en-GB"/>
        </w:rPr>
        <w:t xml:space="preserve">, </w:t>
      </w:r>
      <w:r w:rsidR="005965BA" w:rsidRPr="00BF44DD">
        <w:rPr>
          <w:sz w:val="22"/>
          <w:szCs w:val="22"/>
          <w:lang w:val="en-GB"/>
        </w:rPr>
        <w:t xml:space="preserve">in accordance with Section I of the Tender Documents (ITB) Point E – Evaluation and Comparison of Bids which provides that </w:t>
      </w:r>
      <w:r w:rsidR="00F021EE" w:rsidRPr="00BF44DD">
        <w:rPr>
          <w:sz w:val="22"/>
          <w:szCs w:val="22"/>
          <w:lang w:val="en-GB"/>
        </w:rPr>
        <w:t xml:space="preserve">a </w:t>
      </w:r>
      <w:r w:rsidR="00F021EE" w:rsidRPr="00BF44DD">
        <w:rPr>
          <w:sz w:val="22"/>
          <w:szCs w:val="22"/>
        </w:rPr>
        <w:t>substantially responsive Bid is one that conforms to all the terms, conditions, and specifications of the Bidding Documents without material deviation, reservation, or omission</w:t>
      </w:r>
      <w:r w:rsidRPr="00BF44DD">
        <w:rPr>
          <w:sz w:val="22"/>
          <w:szCs w:val="22"/>
        </w:rPr>
        <w:t xml:space="preserve"> </w:t>
      </w:r>
      <w:r w:rsidR="00F021EE" w:rsidRPr="00BF44DD">
        <w:rPr>
          <w:sz w:val="22"/>
          <w:szCs w:val="22"/>
        </w:rPr>
        <w:t xml:space="preserve">and with Section III </w:t>
      </w:r>
      <w:r w:rsidR="00F021EE" w:rsidRPr="00BF44DD">
        <w:rPr>
          <w:sz w:val="22"/>
          <w:szCs w:val="22"/>
          <w:lang w:val="en-GB"/>
        </w:rPr>
        <w:t xml:space="preserve">of the Tender Documents Evaluation and Qualification Criteria Point 2. Postqualification Requirements which provides that </w:t>
      </w:r>
      <w:r w:rsidR="00F021EE" w:rsidRPr="00BF44DD">
        <w:rPr>
          <w:sz w:val="22"/>
          <w:szCs w:val="22"/>
        </w:rPr>
        <w:t xml:space="preserve">after determining the lowest-evaluated bid in accordance with ITB Sub-Clause 36.1, the </w:t>
      </w:r>
      <w:r w:rsidR="000C6D8C">
        <w:rPr>
          <w:sz w:val="22"/>
          <w:szCs w:val="22"/>
        </w:rPr>
        <w:t>Employer</w:t>
      </w:r>
      <w:r w:rsidR="00F021EE" w:rsidRPr="00BF44DD">
        <w:rPr>
          <w:sz w:val="22"/>
          <w:szCs w:val="22"/>
        </w:rPr>
        <w:t xml:space="preserve"> shall carry out the postqualification of the Bidder in accordance with ITB Clause 37, using only the requirements specified. </w:t>
      </w:r>
    </w:p>
    <w:p w:rsidR="002E3361" w:rsidRPr="00BF44DD" w:rsidRDefault="00F061DE" w:rsidP="00C71568">
      <w:pPr>
        <w:tabs>
          <w:tab w:val="left" w:pos="540"/>
        </w:tabs>
        <w:suppressAutoHyphens/>
        <w:spacing w:after="200"/>
        <w:ind w:right="-72"/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 xml:space="preserve">The </w:t>
      </w:r>
      <w:r w:rsidR="003C34F3" w:rsidRPr="00BF44DD">
        <w:rPr>
          <w:sz w:val="22"/>
          <w:szCs w:val="22"/>
          <w:lang w:val="en-GB"/>
        </w:rPr>
        <w:t>procedure of reviewing and expert evaluating of the bids has</w:t>
      </w:r>
      <w:r w:rsidRPr="00BF44DD">
        <w:rPr>
          <w:sz w:val="22"/>
          <w:szCs w:val="22"/>
          <w:lang w:val="en-GB"/>
        </w:rPr>
        <w:t xml:space="preserve"> been carried out in accordance with the relevant provisions of the Tender Documents, through the phases, in the followi</w:t>
      </w:r>
      <w:r w:rsidR="00BF44DD" w:rsidRPr="00BF44DD">
        <w:rPr>
          <w:sz w:val="22"/>
          <w:szCs w:val="22"/>
          <w:lang w:val="en-GB"/>
        </w:rPr>
        <w:t>n</w:t>
      </w:r>
      <w:r w:rsidRPr="00BF44DD">
        <w:rPr>
          <w:sz w:val="22"/>
          <w:szCs w:val="22"/>
          <w:lang w:val="en-GB"/>
        </w:rPr>
        <w:t>g manner</w:t>
      </w:r>
      <w:r w:rsidR="002E3361" w:rsidRPr="00BF44DD">
        <w:rPr>
          <w:sz w:val="22"/>
          <w:szCs w:val="22"/>
        </w:rPr>
        <w:t>:</w:t>
      </w:r>
    </w:p>
    <w:p w:rsidR="002E3361" w:rsidRPr="00BF44DD" w:rsidRDefault="00C71568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</w:rPr>
        <w:t xml:space="preserve">Checking </w:t>
      </w:r>
      <w:r w:rsidR="008423B1" w:rsidRPr="00BF44DD">
        <w:rPr>
          <w:sz w:val="22"/>
          <w:szCs w:val="22"/>
        </w:rPr>
        <w:t>the</w:t>
      </w:r>
      <w:r w:rsidRPr="00BF44DD">
        <w:rPr>
          <w:sz w:val="22"/>
          <w:szCs w:val="22"/>
        </w:rPr>
        <w:t xml:space="preserve"> arithmetical compliance of the bids and correction of arithmetic errors</w:t>
      </w:r>
      <w:r w:rsidR="008423B1" w:rsidRPr="00BF44DD">
        <w:rPr>
          <w:sz w:val="22"/>
          <w:szCs w:val="22"/>
        </w:rPr>
        <w:t>;</w:t>
      </w:r>
      <w:r w:rsidRPr="00BF44DD">
        <w:rPr>
          <w:sz w:val="22"/>
          <w:szCs w:val="22"/>
          <w:lang w:val="sr-Latn-CS"/>
        </w:rPr>
        <w:t xml:space="preserve"> </w:t>
      </w:r>
    </w:p>
    <w:p w:rsidR="007A2359" w:rsidRPr="00BF44DD" w:rsidRDefault="008423B1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</w:rPr>
        <w:t xml:space="preserve">Checking </w:t>
      </w:r>
      <w:r w:rsidR="00F067EF" w:rsidRPr="00BF44DD">
        <w:rPr>
          <w:sz w:val="22"/>
          <w:szCs w:val="22"/>
        </w:rPr>
        <w:t xml:space="preserve">the completeness of the items offered </w:t>
      </w:r>
    </w:p>
    <w:p w:rsidR="002E3361" w:rsidRPr="00BF44DD" w:rsidRDefault="007A2359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>Rank</w:t>
      </w:r>
      <w:r w:rsidR="000056A6" w:rsidRPr="00BF44DD">
        <w:rPr>
          <w:sz w:val="22"/>
          <w:szCs w:val="22"/>
          <w:lang w:val="sr-Latn-CS"/>
        </w:rPr>
        <w:t>ing of the complete</w:t>
      </w:r>
      <w:r w:rsidRPr="00BF44DD">
        <w:rPr>
          <w:sz w:val="22"/>
          <w:szCs w:val="22"/>
          <w:lang w:val="sr-Latn-CS"/>
        </w:rPr>
        <w:t xml:space="preserve"> bids by price </w:t>
      </w:r>
    </w:p>
    <w:p w:rsidR="000056A6" w:rsidRPr="00BF44DD" w:rsidRDefault="000056A6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 xml:space="preserve">If all the bids are incomplete, the ranking will be done by completeness </w:t>
      </w:r>
    </w:p>
    <w:p w:rsidR="002E3361" w:rsidRPr="00BF44DD" w:rsidRDefault="000056A6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 xml:space="preserve">Checking of the administrative compliance of the bids </w:t>
      </w:r>
      <w:r w:rsidR="008C0907" w:rsidRPr="00BF44DD">
        <w:rPr>
          <w:sz w:val="22"/>
          <w:szCs w:val="22"/>
          <w:lang w:val="sr-Latn-CS"/>
        </w:rPr>
        <w:t xml:space="preserve">with the lowest price or the bids with the highest number of the items offered (if there is not even one bid complete) per lot </w:t>
      </w:r>
    </w:p>
    <w:p w:rsidR="008C0907" w:rsidRPr="00BF44DD" w:rsidRDefault="008C0907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 xml:space="preserve">If the bids mentioned are administratively compliant the next step is </w:t>
      </w:r>
      <w:r w:rsidR="00BF44DD" w:rsidRPr="00BF44DD">
        <w:rPr>
          <w:sz w:val="22"/>
          <w:szCs w:val="22"/>
          <w:lang w:val="sr-Latn-CS"/>
        </w:rPr>
        <w:t>its</w:t>
      </w:r>
      <w:r w:rsidRPr="00BF44DD">
        <w:rPr>
          <w:sz w:val="22"/>
          <w:szCs w:val="22"/>
          <w:lang w:val="sr-Latn-CS"/>
        </w:rPr>
        <w:t xml:space="preserve"> comparison with evaluated value and with the actual market prices</w:t>
      </w:r>
      <w:r w:rsidR="00BF44DD" w:rsidRPr="00BF44DD">
        <w:rPr>
          <w:sz w:val="22"/>
          <w:szCs w:val="22"/>
          <w:lang w:val="sr-Latn-CS"/>
        </w:rPr>
        <w:t>,</w:t>
      </w:r>
      <w:r w:rsidRPr="00BF44DD">
        <w:rPr>
          <w:sz w:val="22"/>
          <w:szCs w:val="22"/>
          <w:lang w:val="sr-Latn-CS"/>
        </w:rPr>
        <w:t xml:space="preserve"> so called financial compliance</w:t>
      </w:r>
    </w:p>
    <w:p w:rsidR="004E7BCF" w:rsidRPr="00BF44DD" w:rsidRDefault="008C0907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>If  the bids mentioned are not administratively compliant</w:t>
      </w:r>
      <w:r w:rsidR="004E7BCF" w:rsidRPr="00BF44DD">
        <w:rPr>
          <w:sz w:val="22"/>
          <w:szCs w:val="22"/>
          <w:lang w:val="sr-Latn-CS"/>
        </w:rPr>
        <w:t>,</w:t>
      </w:r>
      <w:r w:rsidRPr="00BF44DD">
        <w:rPr>
          <w:sz w:val="22"/>
          <w:szCs w:val="22"/>
          <w:lang w:val="sr-Latn-CS"/>
        </w:rPr>
        <w:t xml:space="preserve"> </w:t>
      </w:r>
      <w:r w:rsidR="004E7BCF" w:rsidRPr="00BF44DD">
        <w:rPr>
          <w:sz w:val="22"/>
          <w:szCs w:val="22"/>
          <w:lang w:val="sr-Latn-CS"/>
        </w:rPr>
        <w:t>the next step is checking of the next ranked bid fro</w:t>
      </w:r>
      <w:r w:rsidR="002C01EC" w:rsidRPr="00BF44DD">
        <w:rPr>
          <w:sz w:val="22"/>
          <w:szCs w:val="22"/>
          <w:lang w:val="sr-Latn-CS"/>
        </w:rPr>
        <w:t>m</w:t>
      </w:r>
      <w:r w:rsidR="004E7BCF" w:rsidRPr="00BF44DD">
        <w:rPr>
          <w:sz w:val="22"/>
          <w:szCs w:val="22"/>
          <w:lang w:val="sr-Latn-CS"/>
        </w:rPr>
        <w:t xml:space="preserve"> the administrative and financial aspect </w:t>
      </w:r>
    </w:p>
    <w:p w:rsidR="004E7BCF" w:rsidRPr="00BF44DD" w:rsidRDefault="004E7BCF" w:rsidP="002E3361">
      <w:pPr>
        <w:pStyle w:val="ListParagraph"/>
        <w:numPr>
          <w:ilvl w:val="0"/>
          <w:numId w:val="48"/>
        </w:numPr>
        <w:spacing w:after="200" w:line="276" w:lineRule="auto"/>
        <w:contextualSpacing/>
        <w:rPr>
          <w:sz w:val="22"/>
          <w:szCs w:val="22"/>
          <w:lang w:val="sr-Latn-CS"/>
        </w:rPr>
      </w:pPr>
      <w:r w:rsidRPr="00BF44DD">
        <w:rPr>
          <w:sz w:val="22"/>
          <w:szCs w:val="22"/>
          <w:lang w:val="sr-Latn-CS"/>
        </w:rPr>
        <w:t>If the best ranked bids are administratively and financialy compliant, and the offered prices</w:t>
      </w:r>
      <w:r w:rsidR="00BF44DD" w:rsidRPr="00BF44DD">
        <w:rPr>
          <w:sz w:val="22"/>
          <w:szCs w:val="22"/>
          <w:lang w:val="sr-Latn-CS"/>
        </w:rPr>
        <w:t xml:space="preserve"> are</w:t>
      </w:r>
      <w:r w:rsidRPr="00BF44DD">
        <w:rPr>
          <w:sz w:val="22"/>
          <w:szCs w:val="22"/>
          <w:lang w:val="sr-Latn-CS"/>
        </w:rPr>
        <w:t xml:space="preserve"> in accordance with or lower than evaluated value or market prices, it results in the Commission’s  recomendation for the award of contract </w:t>
      </w:r>
    </w:p>
    <w:p w:rsidR="00716A97" w:rsidRPr="00BF44DD" w:rsidRDefault="004E7BCF" w:rsidP="002F7779">
      <w:pPr>
        <w:pStyle w:val="ListParagraph"/>
        <w:numPr>
          <w:ilvl w:val="0"/>
          <w:numId w:val="48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BF44DD">
        <w:rPr>
          <w:sz w:val="22"/>
          <w:szCs w:val="22"/>
          <w:lang w:val="sr-Latn-CS"/>
        </w:rPr>
        <w:t xml:space="preserve">If </w:t>
      </w:r>
      <w:r w:rsidR="002C01EC" w:rsidRPr="00BF44DD">
        <w:rPr>
          <w:sz w:val="22"/>
          <w:szCs w:val="22"/>
          <w:lang w:val="sr-Latn-CS"/>
        </w:rPr>
        <w:t xml:space="preserve"> not even one bid has been submitted or not even one </w:t>
      </w:r>
      <w:r w:rsidR="00716A97" w:rsidRPr="00BF44DD">
        <w:rPr>
          <w:sz w:val="22"/>
          <w:szCs w:val="22"/>
          <w:lang w:val="sr-Latn-CS"/>
        </w:rPr>
        <w:t xml:space="preserve">submitted </w:t>
      </w:r>
      <w:r w:rsidR="002C01EC" w:rsidRPr="00BF44DD">
        <w:rPr>
          <w:sz w:val="22"/>
          <w:szCs w:val="22"/>
          <w:lang w:val="sr-Latn-CS"/>
        </w:rPr>
        <w:t xml:space="preserve">bid in a lot is administratively and financialy compliant, it results in the Commission’s  recomendation for </w:t>
      </w:r>
      <w:r w:rsidR="00716A97" w:rsidRPr="00BF44DD">
        <w:rPr>
          <w:sz w:val="22"/>
          <w:szCs w:val="22"/>
          <w:lang w:val="sr-Latn-CS"/>
        </w:rPr>
        <w:t xml:space="preserve">conducting the negotiation procedure </w:t>
      </w:r>
      <w:r w:rsidR="002F7779" w:rsidRPr="00BF44DD">
        <w:rPr>
          <w:sz w:val="22"/>
          <w:szCs w:val="22"/>
        </w:rPr>
        <w:t>.</w:t>
      </w:r>
    </w:p>
    <w:p w:rsidR="00BF44DD" w:rsidRDefault="00BF44DD" w:rsidP="00BF44DD">
      <w:pPr>
        <w:pStyle w:val="ListParagraph"/>
        <w:spacing w:after="200" w:line="276" w:lineRule="auto"/>
        <w:ind w:left="360"/>
        <w:contextualSpacing/>
        <w:jc w:val="both"/>
        <w:rPr>
          <w:sz w:val="22"/>
          <w:szCs w:val="22"/>
          <w:lang w:val="sr-Latn-CS"/>
        </w:rPr>
      </w:pPr>
    </w:p>
    <w:p w:rsidR="00525FF7" w:rsidRPr="00BF44DD" w:rsidRDefault="00716A97" w:rsidP="00454B67">
      <w:pPr>
        <w:pStyle w:val="ListParagraph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BF44DD">
        <w:rPr>
          <w:sz w:val="22"/>
          <w:szCs w:val="22"/>
          <w:lang w:val="sr-Latn-CS"/>
        </w:rPr>
        <w:t xml:space="preserve">The results of the </w:t>
      </w:r>
      <w:r w:rsidRPr="00BF44DD">
        <w:rPr>
          <w:sz w:val="22"/>
          <w:szCs w:val="22"/>
          <w:lang w:val="en-GB"/>
        </w:rPr>
        <w:t>procedure of reviewing and expert evaluating of the bids</w:t>
      </w:r>
      <w:r w:rsidR="00BF44DD" w:rsidRPr="00BF44DD">
        <w:rPr>
          <w:sz w:val="22"/>
          <w:szCs w:val="22"/>
          <w:lang w:val="en-GB"/>
        </w:rPr>
        <w:t xml:space="preserve">, apart from </w:t>
      </w:r>
      <w:r w:rsidRPr="00BF44DD">
        <w:rPr>
          <w:sz w:val="22"/>
          <w:szCs w:val="22"/>
          <w:lang w:val="en-GB"/>
        </w:rPr>
        <w:t xml:space="preserve">this report, are presented in the </w:t>
      </w:r>
      <w:r w:rsidR="00561AA1">
        <w:rPr>
          <w:sz w:val="22"/>
          <w:szCs w:val="22"/>
          <w:lang w:val="en-US"/>
        </w:rPr>
        <w:t>Table report</w:t>
      </w:r>
      <w:r w:rsidR="00917690" w:rsidRPr="00BF44DD">
        <w:rPr>
          <w:sz w:val="22"/>
          <w:szCs w:val="22"/>
          <w:lang w:val="en-GB"/>
        </w:rPr>
        <w:t xml:space="preserve"> that is </w:t>
      </w:r>
      <w:r w:rsidR="00BF44DD" w:rsidRPr="00BF44DD">
        <w:rPr>
          <w:sz w:val="22"/>
          <w:szCs w:val="22"/>
          <w:lang w:val="en-GB"/>
        </w:rPr>
        <w:t>a constituent part of this r</w:t>
      </w:r>
      <w:r w:rsidR="00917690" w:rsidRPr="00BF44DD">
        <w:rPr>
          <w:sz w:val="22"/>
          <w:szCs w:val="22"/>
          <w:lang w:val="en-GB"/>
        </w:rPr>
        <w:t>eport, and contains</w:t>
      </w:r>
      <w:r w:rsidRPr="00BF44DD">
        <w:rPr>
          <w:sz w:val="22"/>
          <w:szCs w:val="22"/>
          <w:lang w:val="en-GB"/>
        </w:rPr>
        <w:t xml:space="preserve"> </w:t>
      </w:r>
      <w:r w:rsidR="00C63220" w:rsidRPr="00BF44DD">
        <w:rPr>
          <w:sz w:val="22"/>
          <w:szCs w:val="22"/>
          <w:lang w:val="en-GB"/>
        </w:rPr>
        <w:t>all relevant information concerning</w:t>
      </w:r>
      <w:r w:rsidR="00917690" w:rsidRPr="00BF44DD">
        <w:rPr>
          <w:sz w:val="22"/>
          <w:szCs w:val="22"/>
          <w:lang w:val="en-GB"/>
        </w:rPr>
        <w:t xml:space="preserve"> the </w:t>
      </w:r>
      <w:r w:rsidR="00C63220" w:rsidRPr="00BF44DD">
        <w:rPr>
          <w:sz w:val="22"/>
          <w:szCs w:val="22"/>
          <w:lang w:val="en-GB"/>
        </w:rPr>
        <w:t xml:space="preserve">conducted procedure, especially the </w:t>
      </w:r>
      <w:r w:rsidR="00917690" w:rsidRPr="00BF44DD">
        <w:rPr>
          <w:sz w:val="22"/>
          <w:szCs w:val="22"/>
          <w:lang w:val="en-GB"/>
        </w:rPr>
        <w:t>following</w:t>
      </w:r>
      <w:r w:rsidR="0027338B" w:rsidRPr="00BF44DD">
        <w:rPr>
          <w:sz w:val="22"/>
          <w:szCs w:val="22"/>
        </w:rPr>
        <w:t>:</w:t>
      </w:r>
    </w:p>
    <w:p w:rsidR="0027338B" w:rsidRPr="00BF44DD" w:rsidRDefault="00430577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Name and</w:t>
      </w:r>
      <w:r w:rsidR="00C63220" w:rsidRPr="00BF44DD">
        <w:rPr>
          <w:sz w:val="22"/>
          <w:szCs w:val="22"/>
        </w:rPr>
        <w:t xml:space="preserve"> number of a lot</w:t>
      </w:r>
      <w:r w:rsidR="0027338B" w:rsidRPr="00BF44DD">
        <w:rPr>
          <w:sz w:val="22"/>
          <w:szCs w:val="22"/>
        </w:rPr>
        <w:t>;</w:t>
      </w:r>
    </w:p>
    <w:p w:rsidR="0027338B" w:rsidRPr="00BF44DD" w:rsidRDefault="00430577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Bidder’s name</w:t>
      </w:r>
      <w:r w:rsidR="0027338B" w:rsidRPr="00BF44DD">
        <w:rPr>
          <w:sz w:val="22"/>
          <w:szCs w:val="22"/>
        </w:rPr>
        <w:t>;</w:t>
      </w:r>
    </w:p>
    <w:p w:rsidR="0027338B" w:rsidRPr="00BF44DD" w:rsidRDefault="00E8168C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Number of  items requested</w:t>
      </w:r>
      <w:r w:rsidR="0027338B" w:rsidRPr="00BF44DD">
        <w:rPr>
          <w:sz w:val="22"/>
          <w:szCs w:val="22"/>
        </w:rPr>
        <w:t>;</w:t>
      </w:r>
    </w:p>
    <w:p w:rsidR="0027338B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Number of items offered</w:t>
      </w:r>
      <w:r w:rsidR="0027338B" w:rsidRPr="00BF44DD">
        <w:rPr>
          <w:sz w:val="22"/>
          <w:szCs w:val="22"/>
        </w:rPr>
        <w:t>;</w:t>
      </w:r>
    </w:p>
    <w:p w:rsidR="0027338B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Evaluated value</w:t>
      </w:r>
      <w:r w:rsidR="0027338B" w:rsidRPr="00BF44DD">
        <w:rPr>
          <w:sz w:val="22"/>
          <w:szCs w:val="22"/>
        </w:rPr>
        <w:t>;</w:t>
      </w:r>
    </w:p>
    <w:p w:rsidR="0027338B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Bid price</w:t>
      </w:r>
      <w:r w:rsidR="0027338B" w:rsidRPr="00BF44DD">
        <w:rPr>
          <w:sz w:val="22"/>
          <w:szCs w:val="22"/>
        </w:rPr>
        <w:t>;</w:t>
      </w:r>
    </w:p>
    <w:p w:rsidR="0027338B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Price confirmed</w:t>
      </w:r>
      <w:r w:rsidR="0027338B" w:rsidRPr="00BF44DD">
        <w:rPr>
          <w:sz w:val="22"/>
          <w:szCs w:val="22"/>
        </w:rPr>
        <w:t>;</w:t>
      </w:r>
    </w:p>
    <w:p w:rsidR="00D10609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 xml:space="preserve">Commission’s remarks and </w:t>
      </w:r>
      <w:r w:rsidR="00BA00E6" w:rsidRPr="00BF44DD">
        <w:rPr>
          <w:sz w:val="22"/>
          <w:szCs w:val="22"/>
        </w:rPr>
        <w:t>recommendation</w:t>
      </w:r>
      <w:r w:rsidR="00212AA2" w:rsidRPr="00BF44DD">
        <w:rPr>
          <w:sz w:val="22"/>
          <w:szCs w:val="22"/>
        </w:rPr>
        <w:t>;</w:t>
      </w:r>
    </w:p>
    <w:p w:rsidR="00212AA2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Selected value of the bid</w:t>
      </w:r>
      <w:r w:rsidR="00EF1359" w:rsidRPr="00BF44DD">
        <w:rPr>
          <w:sz w:val="22"/>
          <w:szCs w:val="22"/>
        </w:rPr>
        <w:t>;</w:t>
      </w:r>
    </w:p>
    <w:p w:rsidR="00EF1359" w:rsidRPr="00BF44DD" w:rsidRDefault="002E7FBA" w:rsidP="0027338B">
      <w:pPr>
        <w:numPr>
          <w:ilvl w:val="0"/>
          <w:numId w:val="46"/>
        </w:numPr>
        <w:jc w:val="both"/>
        <w:rPr>
          <w:sz w:val="22"/>
          <w:szCs w:val="22"/>
        </w:rPr>
      </w:pPr>
      <w:r w:rsidRPr="00BF44DD">
        <w:rPr>
          <w:sz w:val="22"/>
          <w:szCs w:val="22"/>
        </w:rPr>
        <w:t>Name and number of a lot for which no bid has been submitted</w:t>
      </w:r>
      <w:r w:rsidR="00EF1359" w:rsidRPr="00BF44DD">
        <w:rPr>
          <w:sz w:val="22"/>
          <w:szCs w:val="22"/>
        </w:rPr>
        <w:t>.</w:t>
      </w:r>
    </w:p>
    <w:p w:rsidR="00AD5604" w:rsidRPr="00BF44DD" w:rsidRDefault="00AD5604" w:rsidP="00FF4EB6">
      <w:pPr>
        <w:pStyle w:val="ListParagraph"/>
        <w:ind w:left="0"/>
        <w:jc w:val="both"/>
        <w:rPr>
          <w:sz w:val="22"/>
          <w:szCs w:val="22"/>
        </w:rPr>
      </w:pPr>
    </w:p>
    <w:p w:rsidR="003A5818" w:rsidRPr="00BF44DD" w:rsidRDefault="003A5818" w:rsidP="003A5818">
      <w:pPr>
        <w:pStyle w:val="ListParagraph"/>
        <w:spacing w:after="120"/>
        <w:ind w:left="0" w:right="510"/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lastRenderedPageBreak/>
        <w:t>The following are enclosed and are constituent parts of this Report</w:t>
      </w:r>
      <w:r w:rsidRPr="00BF44DD">
        <w:rPr>
          <w:sz w:val="22"/>
          <w:szCs w:val="22"/>
        </w:rPr>
        <w:t>:</w:t>
      </w:r>
    </w:p>
    <w:p w:rsidR="00D80029" w:rsidRPr="00BF44DD" w:rsidRDefault="003A5818" w:rsidP="002F7779">
      <w:pPr>
        <w:pStyle w:val="ListParagraph"/>
        <w:numPr>
          <w:ilvl w:val="0"/>
          <w:numId w:val="49"/>
        </w:numPr>
        <w:spacing w:after="120"/>
        <w:ind w:right="510"/>
        <w:jc w:val="both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 xml:space="preserve">Minutes on the Opening of Bids No. </w:t>
      </w:r>
      <w:r w:rsidRPr="00BF44DD">
        <w:rPr>
          <w:sz w:val="22"/>
          <w:szCs w:val="22"/>
        </w:rPr>
        <w:t>147 and 148</w:t>
      </w:r>
      <w:r w:rsidRPr="00BF44DD">
        <w:rPr>
          <w:sz w:val="22"/>
          <w:szCs w:val="22"/>
          <w:lang w:val="en-GB"/>
        </w:rPr>
        <w:t xml:space="preserve"> of 16</w:t>
      </w:r>
      <w:r w:rsidRPr="00BF44DD">
        <w:rPr>
          <w:sz w:val="22"/>
          <w:szCs w:val="22"/>
          <w:vertAlign w:val="superscript"/>
          <w:lang w:val="en-GB"/>
        </w:rPr>
        <w:t>th</w:t>
      </w:r>
      <w:r w:rsidRPr="00BF44DD">
        <w:rPr>
          <w:sz w:val="22"/>
          <w:szCs w:val="22"/>
          <w:lang w:val="en-GB"/>
        </w:rPr>
        <w:t xml:space="preserve"> of  January 2012;  </w:t>
      </w:r>
      <w:r w:rsidRPr="00BF44DD">
        <w:rPr>
          <w:sz w:val="22"/>
          <w:szCs w:val="22"/>
        </w:rPr>
        <w:t>218 and 219 of 17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279 and 280  of 18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Januaray 2012; 341 and 342 of 19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384 and 385  of 20</w:t>
      </w:r>
      <w:r w:rsidRPr="00BF44DD">
        <w:rPr>
          <w:sz w:val="22"/>
          <w:szCs w:val="22"/>
          <w:vertAlign w:val="superscript"/>
        </w:rPr>
        <w:t>th</w:t>
      </w:r>
      <w:r w:rsidRPr="00BF44DD">
        <w:rPr>
          <w:sz w:val="22"/>
          <w:szCs w:val="22"/>
        </w:rPr>
        <w:t xml:space="preserve"> of January 2012; 453 and 454 of 23</w:t>
      </w:r>
      <w:r w:rsidRPr="00BF44DD">
        <w:rPr>
          <w:sz w:val="22"/>
          <w:szCs w:val="22"/>
          <w:vertAlign w:val="superscript"/>
        </w:rPr>
        <w:t>rd</w:t>
      </w:r>
      <w:r w:rsidRPr="00BF44DD">
        <w:rPr>
          <w:sz w:val="22"/>
          <w:szCs w:val="22"/>
        </w:rPr>
        <w:t xml:space="preserve"> of January 2012</w:t>
      </w:r>
      <w:r w:rsidR="00D80029" w:rsidRPr="00BF44DD">
        <w:rPr>
          <w:sz w:val="22"/>
          <w:szCs w:val="22"/>
        </w:rPr>
        <w:t>;</w:t>
      </w:r>
    </w:p>
    <w:p w:rsidR="002E3361" w:rsidRPr="00BF44DD" w:rsidRDefault="00561AA1" w:rsidP="00D80029">
      <w:pPr>
        <w:pStyle w:val="ListParagraph"/>
        <w:numPr>
          <w:ilvl w:val="0"/>
          <w:numId w:val="23"/>
        </w:numPr>
        <w:spacing w:after="120"/>
        <w:ind w:right="51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Table report</w:t>
      </w:r>
    </w:p>
    <w:p w:rsidR="00BF44DD" w:rsidRDefault="00BF44DD" w:rsidP="00BF44DD">
      <w:pPr>
        <w:pStyle w:val="ListParagraph"/>
        <w:spacing w:after="120"/>
        <w:ind w:right="510"/>
        <w:jc w:val="both"/>
        <w:rPr>
          <w:sz w:val="22"/>
          <w:szCs w:val="22"/>
        </w:rPr>
      </w:pPr>
    </w:p>
    <w:p w:rsidR="00A23E76" w:rsidRPr="00A23E76" w:rsidRDefault="00A23E76" w:rsidP="00BF44DD">
      <w:pPr>
        <w:pStyle w:val="ListParagraph"/>
        <w:spacing w:after="120"/>
        <w:ind w:right="510"/>
        <w:jc w:val="both"/>
        <w:rPr>
          <w:sz w:val="22"/>
          <w:szCs w:val="22"/>
        </w:rPr>
      </w:pPr>
    </w:p>
    <w:p w:rsidR="003A5818" w:rsidRPr="00BF44DD" w:rsidRDefault="003A5818" w:rsidP="003A5818">
      <w:pPr>
        <w:spacing w:line="0" w:lineRule="atLeast"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Commission: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Miloš Vojnović, President of the Commission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Tatjana Božić, Deputy President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Jelena Petrović,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Ljiljana Maravić,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Vojislav Blagojević,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Maja Babić,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Milica Radojčić,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Jelena Planić, Commission Member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Olgica Mićović, Commission Secretary</w:t>
      </w:r>
    </w:p>
    <w:p w:rsidR="003A5818" w:rsidRPr="00BF44DD" w:rsidRDefault="003A5818" w:rsidP="003A5818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contextualSpacing/>
        <w:rPr>
          <w:sz w:val="22"/>
          <w:szCs w:val="22"/>
        </w:rPr>
      </w:pPr>
      <w:r w:rsidRPr="00BF44DD">
        <w:rPr>
          <w:sz w:val="22"/>
          <w:szCs w:val="22"/>
          <w:lang w:val="en-GB"/>
        </w:rPr>
        <w:t>_________________________, Marija Vuksanović, Commission Secretary</w:t>
      </w:r>
    </w:p>
    <w:p w:rsidR="00BA6291" w:rsidRPr="00BF44DD" w:rsidRDefault="00BA6291" w:rsidP="00D956BA">
      <w:pPr>
        <w:pStyle w:val="ListParagraph"/>
        <w:spacing w:before="100" w:beforeAutospacing="1" w:after="100" w:afterAutospacing="1" w:line="480" w:lineRule="auto"/>
        <w:ind w:left="1211"/>
        <w:contextualSpacing/>
        <w:rPr>
          <w:sz w:val="22"/>
          <w:szCs w:val="22"/>
        </w:rPr>
      </w:pPr>
    </w:p>
    <w:sectPr w:rsidR="00BA6291" w:rsidRPr="00BF44DD" w:rsidSect="00345737">
      <w:headerReference w:type="default" r:id="rId8"/>
      <w:footerReference w:type="default" r:id="rId9"/>
      <w:pgSz w:w="11909" w:h="16834" w:code="9"/>
      <w:pgMar w:top="1440" w:right="1440" w:bottom="1152" w:left="1440" w:header="403" w:footer="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0F" w:rsidRDefault="008C4E0F">
      <w:r>
        <w:separator/>
      </w:r>
    </w:p>
  </w:endnote>
  <w:endnote w:type="continuationSeparator" w:id="1">
    <w:p w:rsidR="008C4E0F" w:rsidRDefault="008C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FB" w:rsidRDefault="000A3AFB">
    <w:pPr>
      <w:pStyle w:val="Footer"/>
      <w:jc w:val="center"/>
    </w:pPr>
    <w:r>
      <w:t xml:space="preserve">Page </w:t>
    </w:r>
    <w:r w:rsidR="003574B2">
      <w:rPr>
        <w:b/>
      </w:rPr>
      <w:fldChar w:fldCharType="begin"/>
    </w:r>
    <w:r>
      <w:rPr>
        <w:b/>
      </w:rPr>
      <w:instrText xml:space="preserve"> PAGE </w:instrText>
    </w:r>
    <w:r w:rsidR="003574B2">
      <w:rPr>
        <w:b/>
      </w:rPr>
      <w:fldChar w:fldCharType="separate"/>
    </w:r>
    <w:r w:rsidR="00BA00E6">
      <w:rPr>
        <w:b/>
        <w:noProof/>
      </w:rPr>
      <w:t>3</w:t>
    </w:r>
    <w:r w:rsidR="003574B2">
      <w:rPr>
        <w:b/>
      </w:rPr>
      <w:fldChar w:fldCharType="end"/>
    </w:r>
    <w:r>
      <w:t xml:space="preserve"> of </w:t>
    </w:r>
    <w:r w:rsidR="003574B2">
      <w:rPr>
        <w:b/>
      </w:rPr>
      <w:fldChar w:fldCharType="begin"/>
    </w:r>
    <w:r>
      <w:rPr>
        <w:b/>
      </w:rPr>
      <w:instrText xml:space="preserve"> NUMPAGES  </w:instrText>
    </w:r>
    <w:r w:rsidR="003574B2">
      <w:rPr>
        <w:b/>
      </w:rPr>
      <w:fldChar w:fldCharType="separate"/>
    </w:r>
    <w:r w:rsidR="00BA00E6">
      <w:rPr>
        <w:b/>
        <w:noProof/>
      </w:rPr>
      <w:t>3</w:t>
    </w:r>
    <w:r w:rsidR="003574B2">
      <w:rPr>
        <w:b/>
      </w:rPr>
      <w:fldChar w:fldCharType="end"/>
    </w:r>
  </w:p>
  <w:p w:rsidR="000A3AFB" w:rsidRPr="00090670" w:rsidRDefault="000A3AFB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0F" w:rsidRDefault="008C4E0F">
      <w:r>
        <w:separator/>
      </w:r>
    </w:p>
  </w:footnote>
  <w:footnote w:type="continuationSeparator" w:id="1">
    <w:p w:rsidR="008C4E0F" w:rsidRDefault="008C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FB" w:rsidRPr="00A62847" w:rsidRDefault="000A3AFB" w:rsidP="009A0D9F">
    <w:pPr>
      <w:ind w:left="-1134" w:right="-894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45E25"/>
    <w:multiLevelType w:val="hybridMultilevel"/>
    <w:tmpl w:val="C1B857E2"/>
    <w:lvl w:ilvl="0" w:tplc="1CBE15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1710767"/>
    <w:multiLevelType w:val="hybridMultilevel"/>
    <w:tmpl w:val="650A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A1858D2"/>
    <w:multiLevelType w:val="hybridMultilevel"/>
    <w:tmpl w:val="96B2A268"/>
    <w:lvl w:ilvl="0" w:tplc="E93E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F1F75"/>
    <w:multiLevelType w:val="hybridMultilevel"/>
    <w:tmpl w:val="6866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5305C"/>
    <w:multiLevelType w:val="hybridMultilevel"/>
    <w:tmpl w:val="EE8890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1196C"/>
    <w:multiLevelType w:val="hybridMultilevel"/>
    <w:tmpl w:val="B0040DD2"/>
    <w:lvl w:ilvl="0" w:tplc="D8CA3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D33247"/>
    <w:multiLevelType w:val="hybridMultilevel"/>
    <w:tmpl w:val="A4967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17FB2"/>
    <w:multiLevelType w:val="hybridMultilevel"/>
    <w:tmpl w:val="82D22A54"/>
    <w:lvl w:ilvl="0" w:tplc="8A7094CA">
      <w:start w:val="3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3292DA8"/>
    <w:multiLevelType w:val="hybridMultilevel"/>
    <w:tmpl w:val="283AB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34E563A"/>
    <w:multiLevelType w:val="hybridMultilevel"/>
    <w:tmpl w:val="4A52B948"/>
    <w:lvl w:ilvl="0" w:tplc="9AAE95BC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66E2C9E"/>
    <w:multiLevelType w:val="hybridMultilevel"/>
    <w:tmpl w:val="534C1F8A"/>
    <w:lvl w:ilvl="0" w:tplc="2E946B6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921F5A"/>
    <w:multiLevelType w:val="hybridMultilevel"/>
    <w:tmpl w:val="EA3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B326374"/>
    <w:multiLevelType w:val="hybridMultilevel"/>
    <w:tmpl w:val="319EE7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B8B2A14"/>
    <w:multiLevelType w:val="hybridMultilevel"/>
    <w:tmpl w:val="DAA8E454"/>
    <w:lvl w:ilvl="0" w:tplc="9AAE95BC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8D0619"/>
    <w:multiLevelType w:val="hybridMultilevel"/>
    <w:tmpl w:val="75A004A8"/>
    <w:lvl w:ilvl="0" w:tplc="E79E3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B3FE3"/>
    <w:multiLevelType w:val="hybridMultilevel"/>
    <w:tmpl w:val="160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B43471"/>
    <w:multiLevelType w:val="hybridMultilevel"/>
    <w:tmpl w:val="E72ADEBE"/>
    <w:lvl w:ilvl="0" w:tplc="5D10A13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FD3946"/>
    <w:multiLevelType w:val="hybridMultilevel"/>
    <w:tmpl w:val="850A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66ED6"/>
    <w:multiLevelType w:val="hybridMultilevel"/>
    <w:tmpl w:val="6866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71DAF"/>
    <w:multiLevelType w:val="hybridMultilevel"/>
    <w:tmpl w:val="16AE85BA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5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538154DF"/>
    <w:multiLevelType w:val="hybridMultilevel"/>
    <w:tmpl w:val="5B74DBD0"/>
    <w:lvl w:ilvl="0" w:tplc="D13C6B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7EC3E57"/>
    <w:multiLevelType w:val="hybridMultilevel"/>
    <w:tmpl w:val="C0DC48F6"/>
    <w:lvl w:ilvl="0" w:tplc="9AAE95B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B815FC"/>
    <w:multiLevelType w:val="multilevel"/>
    <w:tmpl w:val="DACE91CC"/>
    <w:lvl w:ilvl="0">
      <w:start w:val="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5BD4D10"/>
    <w:multiLevelType w:val="hybridMultilevel"/>
    <w:tmpl w:val="FFD6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B5DAC"/>
    <w:multiLevelType w:val="hybridMultilevel"/>
    <w:tmpl w:val="3244C05A"/>
    <w:lvl w:ilvl="0" w:tplc="F27AE910">
      <w:start w:val="1"/>
      <w:numFmt w:val="lowerLetter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AA1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A97DD8"/>
    <w:multiLevelType w:val="multilevel"/>
    <w:tmpl w:val="D6D898F4"/>
    <w:lvl w:ilvl="0">
      <w:start w:val="3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B536FBA"/>
    <w:multiLevelType w:val="hybridMultilevel"/>
    <w:tmpl w:val="6866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650E"/>
    <w:multiLevelType w:val="hybridMultilevel"/>
    <w:tmpl w:val="EAA20360"/>
    <w:lvl w:ilvl="0" w:tplc="B5563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212AB8"/>
    <w:multiLevelType w:val="hybridMultilevel"/>
    <w:tmpl w:val="A15CEF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37B25"/>
    <w:multiLevelType w:val="hybridMultilevel"/>
    <w:tmpl w:val="E624AA60"/>
    <w:lvl w:ilvl="0" w:tplc="9CE44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44D29"/>
    <w:multiLevelType w:val="hybridMultilevel"/>
    <w:tmpl w:val="BC2098AE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4"/>
  </w:num>
  <w:num w:numId="15">
    <w:abstractNumId w:val="37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5"/>
  </w:num>
  <w:num w:numId="23">
    <w:abstractNumId w:val="30"/>
  </w:num>
  <w:num w:numId="24">
    <w:abstractNumId w:val="15"/>
  </w:num>
  <w:num w:numId="25">
    <w:abstractNumId w:val="33"/>
  </w:num>
  <w:num w:numId="26">
    <w:abstractNumId w:val="19"/>
  </w:num>
  <w:num w:numId="27">
    <w:abstractNumId w:val="42"/>
  </w:num>
  <w:num w:numId="28">
    <w:abstractNumId w:val="44"/>
  </w:num>
  <w:num w:numId="29">
    <w:abstractNumId w:val="20"/>
  </w:num>
  <w:num w:numId="30">
    <w:abstractNumId w:val="32"/>
  </w:num>
  <w:num w:numId="31">
    <w:abstractNumId w:val="22"/>
  </w:num>
  <w:num w:numId="32">
    <w:abstractNumId w:val="36"/>
  </w:num>
  <w:num w:numId="33">
    <w:abstractNumId w:val="16"/>
  </w:num>
  <w:num w:numId="34">
    <w:abstractNumId w:val="31"/>
  </w:num>
  <w:num w:numId="35">
    <w:abstractNumId w:val="10"/>
  </w:num>
  <w:num w:numId="36">
    <w:abstractNumId w:val="14"/>
  </w:num>
  <w:num w:numId="37">
    <w:abstractNumId w:val="41"/>
  </w:num>
  <w:num w:numId="38">
    <w:abstractNumId w:val="25"/>
  </w:num>
  <w:num w:numId="39">
    <w:abstractNumId w:val="38"/>
  </w:num>
  <w:num w:numId="40">
    <w:abstractNumId w:val="26"/>
  </w:num>
  <w:num w:numId="41">
    <w:abstractNumId w:val="21"/>
  </w:num>
  <w:num w:numId="42">
    <w:abstractNumId w:val="43"/>
  </w:num>
  <w:num w:numId="43">
    <w:abstractNumId w:val="40"/>
  </w:num>
  <w:num w:numId="44">
    <w:abstractNumId w:val="48"/>
  </w:num>
  <w:num w:numId="45">
    <w:abstractNumId w:val="34"/>
  </w:num>
  <w:num w:numId="46">
    <w:abstractNumId w:val="17"/>
  </w:num>
  <w:num w:numId="47">
    <w:abstractNumId w:val="47"/>
  </w:num>
  <w:num w:numId="48">
    <w:abstractNumId w:val="46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20D77"/>
    <w:rsid w:val="00001B62"/>
    <w:rsid w:val="000056A6"/>
    <w:rsid w:val="00005AC7"/>
    <w:rsid w:val="00011C14"/>
    <w:rsid w:val="00012FDD"/>
    <w:rsid w:val="0001444F"/>
    <w:rsid w:val="00014558"/>
    <w:rsid w:val="00016453"/>
    <w:rsid w:val="00016B61"/>
    <w:rsid w:val="00023581"/>
    <w:rsid w:val="00023E04"/>
    <w:rsid w:val="00024561"/>
    <w:rsid w:val="00026340"/>
    <w:rsid w:val="000346E2"/>
    <w:rsid w:val="00034993"/>
    <w:rsid w:val="000408C2"/>
    <w:rsid w:val="00040C5B"/>
    <w:rsid w:val="00040E37"/>
    <w:rsid w:val="000526AF"/>
    <w:rsid w:val="000527B5"/>
    <w:rsid w:val="000559DC"/>
    <w:rsid w:val="000613AC"/>
    <w:rsid w:val="00063299"/>
    <w:rsid w:val="00067D26"/>
    <w:rsid w:val="00071AD4"/>
    <w:rsid w:val="00074486"/>
    <w:rsid w:val="00075114"/>
    <w:rsid w:val="000800B3"/>
    <w:rsid w:val="00090670"/>
    <w:rsid w:val="00090AC0"/>
    <w:rsid w:val="00091ADC"/>
    <w:rsid w:val="000935F8"/>
    <w:rsid w:val="00093850"/>
    <w:rsid w:val="000959D5"/>
    <w:rsid w:val="00095DD8"/>
    <w:rsid w:val="000A3AFB"/>
    <w:rsid w:val="000A75F6"/>
    <w:rsid w:val="000B1A7F"/>
    <w:rsid w:val="000B2F52"/>
    <w:rsid w:val="000B452A"/>
    <w:rsid w:val="000B6F66"/>
    <w:rsid w:val="000B7D33"/>
    <w:rsid w:val="000C3425"/>
    <w:rsid w:val="000C3C4A"/>
    <w:rsid w:val="000C3C93"/>
    <w:rsid w:val="000C6D8C"/>
    <w:rsid w:val="000D137D"/>
    <w:rsid w:val="000D15DB"/>
    <w:rsid w:val="000D1781"/>
    <w:rsid w:val="000D3F73"/>
    <w:rsid w:val="000D3FF0"/>
    <w:rsid w:val="000D6384"/>
    <w:rsid w:val="000E2013"/>
    <w:rsid w:val="000E2A53"/>
    <w:rsid w:val="000E3F24"/>
    <w:rsid w:val="000F17E3"/>
    <w:rsid w:val="000F2F63"/>
    <w:rsid w:val="000F554F"/>
    <w:rsid w:val="000F5FF6"/>
    <w:rsid w:val="00105EBD"/>
    <w:rsid w:val="001070A9"/>
    <w:rsid w:val="001107ED"/>
    <w:rsid w:val="00110EFD"/>
    <w:rsid w:val="00122363"/>
    <w:rsid w:val="00127E79"/>
    <w:rsid w:val="001361A7"/>
    <w:rsid w:val="00136DEB"/>
    <w:rsid w:val="0014247F"/>
    <w:rsid w:val="00144FAF"/>
    <w:rsid w:val="00145884"/>
    <w:rsid w:val="00155915"/>
    <w:rsid w:val="001569FA"/>
    <w:rsid w:val="00156F2C"/>
    <w:rsid w:val="0015745A"/>
    <w:rsid w:val="001619D1"/>
    <w:rsid w:val="00161BD9"/>
    <w:rsid w:val="00161D62"/>
    <w:rsid w:val="00164814"/>
    <w:rsid w:val="0016643B"/>
    <w:rsid w:val="00171AAE"/>
    <w:rsid w:val="0017379F"/>
    <w:rsid w:val="001748E3"/>
    <w:rsid w:val="00176646"/>
    <w:rsid w:val="00184ADC"/>
    <w:rsid w:val="0019191F"/>
    <w:rsid w:val="00191EE7"/>
    <w:rsid w:val="001941D1"/>
    <w:rsid w:val="001A4B54"/>
    <w:rsid w:val="001A6BDD"/>
    <w:rsid w:val="001B173B"/>
    <w:rsid w:val="001C06D0"/>
    <w:rsid w:val="001C0B34"/>
    <w:rsid w:val="001C6E7E"/>
    <w:rsid w:val="001D636F"/>
    <w:rsid w:val="001E42AE"/>
    <w:rsid w:val="001E47B6"/>
    <w:rsid w:val="001E5E1F"/>
    <w:rsid w:val="001E67C6"/>
    <w:rsid w:val="001F081F"/>
    <w:rsid w:val="001F5BD7"/>
    <w:rsid w:val="001F7F7B"/>
    <w:rsid w:val="00202366"/>
    <w:rsid w:val="00206152"/>
    <w:rsid w:val="00207474"/>
    <w:rsid w:val="00212AA2"/>
    <w:rsid w:val="0021688C"/>
    <w:rsid w:val="00217B70"/>
    <w:rsid w:val="002202C6"/>
    <w:rsid w:val="002224FF"/>
    <w:rsid w:val="00223EB9"/>
    <w:rsid w:val="00224787"/>
    <w:rsid w:val="00224A9F"/>
    <w:rsid w:val="00226922"/>
    <w:rsid w:val="00227689"/>
    <w:rsid w:val="00227850"/>
    <w:rsid w:val="00230529"/>
    <w:rsid w:val="00231BC1"/>
    <w:rsid w:val="002334F3"/>
    <w:rsid w:val="002338BC"/>
    <w:rsid w:val="002348B6"/>
    <w:rsid w:val="00234B61"/>
    <w:rsid w:val="002400DB"/>
    <w:rsid w:val="0024135E"/>
    <w:rsid w:val="002414CB"/>
    <w:rsid w:val="002414DB"/>
    <w:rsid w:val="0024310B"/>
    <w:rsid w:val="00245175"/>
    <w:rsid w:val="00264257"/>
    <w:rsid w:val="00264C34"/>
    <w:rsid w:val="0026602E"/>
    <w:rsid w:val="00270A88"/>
    <w:rsid w:val="00270DBD"/>
    <w:rsid w:val="00271F0A"/>
    <w:rsid w:val="00272081"/>
    <w:rsid w:val="0027338B"/>
    <w:rsid w:val="00274CD0"/>
    <w:rsid w:val="00280599"/>
    <w:rsid w:val="00283F98"/>
    <w:rsid w:val="0028657E"/>
    <w:rsid w:val="00286EF9"/>
    <w:rsid w:val="0028711F"/>
    <w:rsid w:val="00291352"/>
    <w:rsid w:val="002924E3"/>
    <w:rsid w:val="00293CA8"/>
    <w:rsid w:val="00295FA6"/>
    <w:rsid w:val="00297BEE"/>
    <w:rsid w:val="002A0A5F"/>
    <w:rsid w:val="002A1E36"/>
    <w:rsid w:val="002A5E5D"/>
    <w:rsid w:val="002A6AC7"/>
    <w:rsid w:val="002A6D7A"/>
    <w:rsid w:val="002A77EE"/>
    <w:rsid w:val="002B72DA"/>
    <w:rsid w:val="002C01EC"/>
    <w:rsid w:val="002C1487"/>
    <w:rsid w:val="002C2F72"/>
    <w:rsid w:val="002C62F2"/>
    <w:rsid w:val="002D487C"/>
    <w:rsid w:val="002D577C"/>
    <w:rsid w:val="002D6566"/>
    <w:rsid w:val="002D65CE"/>
    <w:rsid w:val="002D7DF2"/>
    <w:rsid w:val="002E3361"/>
    <w:rsid w:val="002E46DF"/>
    <w:rsid w:val="002E5F3C"/>
    <w:rsid w:val="002E7FBA"/>
    <w:rsid w:val="002F1FC7"/>
    <w:rsid w:val="002F7779"/>
    <w:rsid w:val="002F797F"/>
    <w:rsid w:val="00300799"/>
    <w:rsid w:val="00303E71"/>
    <w:rsid w:val="0030502D"/>
    <w:rsid w:val="00306296"/>
    <w:rsid w:val="00306AEE"/>
    <w:rsid w:val="003106D3"/>
    <w:rsid w:val="00313122"/>
    <w:rsid w:val="003155CC"/>
    <w:rsid w:val="003156CF"/>
    <w:rsid w:val="00316892"/>
    <w:rsid w:val="003242F7"/>
    <w:rsid w:val="00326108"/>
    <w:rsid w:val="00326F15"/>
    <w:rsid w:val="00330AE4"/>
    <w:rsid w:val="0033519A"/>
    <w:rsid w:val="00335D30"/>
    <w:rsid w:val="00336184"/>
    <w:rsid w:val="00336C23"/>
    <w:rsid w:val="00336EBA"/>
    <w:rsid w:val="003412E3"/>
    <w:rsid w:val="00345737"/>
    <w:rsid w:val="00346621"/>
    <w:rsid w:val="00354C56"/>
    <w:rsid w:val="00356414"/>
    <w:rsid w:val="003572BF"/>
    <w:rsid w:val="003574B2"/>
    <w:rsid w:val="00362A7B"/>
    <w:rsid w:val="003643D0"/>
    <w:rsid w:val="00366967"/>
    <w:rsid w:val="003671C1"/>
    <w:rsid w:val="00367ABA"/>
    <w:rsid w:val="00370A71"/>
    <w:rsid w:val="00372247"/>
    <w:rsid w:val="0037281C"/>
    <w:rsid w:val="00372A64"/>
    <w:rsid w:val="00374BAD"/>
    <w:rsid w:val="00382ED8"/>
    <w:rsid w:val="003853FC"/>
    <w:rsid w:val="003866D1"/>
    <w:rsid w:val="0039191A"/>
    <w:rsid w:val="00396498"/>
    <w:rsid w:val="003965F6"/>
    <w:rsid w:val="003A39FB"/>
    <w:rsid w:val="003A5818"/>
    <w:rsid w:val="003A6008"/>
    <w:rsid w:val="003B2383"/>
    <w:rsid w:val="003B2BA0"/>
    <w:rsid w:val="003B42B5"/>
    <w:rsid w:val="003B6181"/>
    <w:rsid w:val="003B61EC"/>
    <w:rsid w:val="003B735A"/>
    <w:rsid w:val="003C02BF"/>
    <w:rsid w:val="003C1C4E"/>
    <w:rsid w:val="003C34F3"/>
    <w:rsid w:val="003C3757"/>
    <w:rsid w:val="003C65FE"/>
    <w:rsid w:val="003C661F"/>
    <w:rsid w:val="003D2AE4"/>
    <w:rsid w:val="003D2B07"/>
    <w:rsid w:val="003D2CC7"/>
    <w:rsid w:val="003D72DA"/>
    <w:rsid w:val="003E592F"/>
    <w:rsid w:val="003E722F"/>
    <w:rsid w:val="0040208C"/>
    <w:rsid w:val="004023F0"/>
    <w:rsid w:val="00402AEF"/>
    <w:rsid w:val="00404535"/>
    <w:rsid w:val="004129EE"/>
    <w:rsid w:val="00414E1B"/>
    <w:rsid w:val="00422687"/>
    <w:rsid w:val="004251D3"/>
    <w:rsid w:val="00430577"/>
    <w:rsid w:val="0043757F"/>
    <w:rsid w:val="00442380"/>
    <w:rsid w:val="0044345E"/>
    <w:rsid w:val="004434FF"/>
    <w:rsid w:val="0044534B"/>
    <w:rsid w:val="00446A63"/>
    <w:rsid w:val="00446E81"/>
    <w:rsid w:val="0045035E"/>
    <w:rsid w:val="004525B3"/>
    <w:rsid w:val="00454469"/>
    <w:rsid w:val="004548F3"/>
    <w:rsid w:val="00454B67"/>
    <w:rsid w:val="00461E82"/>
    <w:rsid w:val="00462433"/>
    <w:rsid w:val="00463F1D"/>
    <w:rsid w:val="00464D0E"/>
    <w:rsid w:val="0046612C"/>
    <w:rsid w:val="0047511F"/>
    <w:rsid w:val="004805A9"/>
    <w:rsid w:val="00492670"/>
    <w:rsid w:val="00495899"/>
    <w:rsid w:val="00496065"/>
    <w:rsid w:val="004A05D2"/>
    <w:rsid w:val="004A0F3B"/>
    <w:rsid w:val="004B0C96"/>
    <w:rsid w:val="004B13B3"/>
    <w:rsid w:val="004B2EA6"/>
    <w:rsid w:val="004B309D"/>
    <w:rsid w:val="004C0C12"/>
    <w:rsid w:val="004C18BF"/>
    <w:rsid w:val="004C4E64"/>
    <w:rsid w:val="004C4FD1"/>
    <w:rsid w:val="004E0F41"/>
    <w:rsid w:val="004E6082"/>
    <w:rsid w:val="004E704B"/>
    <w:rsid w:val="004E7BCF"/>
    <w:rsid w:val="004F13DC"/>
    <w:rsid w:val="00503AC1"/>
    <w:rsid w:val="0050420F"/>
    <w:rsid w:val="005079A8"/>
    <w:rsid w:val="00515788"/>
    <w:rsid w:val="00517FF0"/>
    <w:rsid w:val="00522060"/>
    <w:rsid w:val="0052428E"/>
    <w:rsid w:val="005245C6"/>
    <w:rsid w:val="00525FF7"/>
    <w:rsid w:val="0053705F"/>
    <w:rsid w:val="00537C51"/>
    <w:rsid w:val="00540E7F"/>
    <w:rsid w:val="00543E18"/>
    <w:rsid w:val="0055726C"/>
    <w:rsid w:val="005601BB"/>
    <w:rsid w:val="0056156B"/>
    <w:rsid w:val="00561AA1"/>
    <w:rsid w:val="00562364"/>
    <w:rsid w:val="005708FB"/>
    <w:rsid w:val="005720F4"/>
    <w:rsid w:val="00572C6F"/>
    <w:rsid w:val="00572DA9"/>
    <w:rsid w:val="005747CE"/>
    <w:rsid w:val="005811AB"/>
    <w:rsid w:val="00581E1B"/>
    <w:rsid w:val="005845AF"/>
    <w:rsid w:val="005850E5"/>
    <w:rsid w:val="00586915"/>
    <w:rsid w:val="00586BC6"/>
    <w:rsid w:val="0058724B"/>
    <w:rsid w:val="0058797C"/>
    <w:rsid w:val="005965BA"/>
    <w:rsid w:val="005970B1"/>
    <w:rsid w:val="005A43A0"/>
    <w:rsid w:val="005B13DA"/>
    <w:rsid w:val="005B2168"/>
    <w:rsid w:val="005B3FC0"/>
    <w:rsid w:val="005B46E1"/>
    <w:rsid w:val="005B5B3B"/>
    <w:rsid w:val="005C4148"/>
    <w:rsid w:val="005C5A76"/>
    <w:rsid w:val="005C6392"/>
    <w:rsid w:val="005C675C"/>
    <w:rsid w:val="005C7FC5"/>
    <w:rsid w:val="005D4AA7"/>
    <w:rsid w:val="005D506F"/>
    <w:rsid w:val="005E172D"/>
    <w:rsid w:val="005F0207"/>
    <w:rsid w:val="00605AB8"/>
    <w:rsid w:val="00611038"/>
    <w:rsid w:val="006134E2"/>
    <w:rsid w:val="006137B5"/>
    <w:rsid w:val="00615202"/>
    <w:rsid w:val="00623F78"/>
    <w:rsid w:val="006326A7"/>
    <w:rsid w:val="00635073"/>
    <w:rsid w:val="0064042C"/>
    <w:rsid w:val="00644FFE"/>
    <w:rsid w:val="006459E7"/>
    <w:rsid w:val="00645B07"/>
    <w:rsid w:val="00651335"/>
    <w:rsid w:val="00654128"/>
    <w:rsid w:val="006562C4"/>
    <w:rsid w:val="00657268"/>
    <w:rsid w:val="006578D3"/>
    <w:rsid w:val="00661559"/>
    <w:rsid w:val="00661CEE"/>
    <w:rsid w:val="00663872"/>
    <w:rsid w:val="00664898"/>
    <w:rsid w:val="0067207E"/>
    <w:rsid w:val="0067506D"/>
    <w:rsid w:val="00675175"/>
    <w:rsid w:val="00680970"/>
    <w:rsid w:val="00681231"/>
    <w:rsid w:val="00692931"/>
    <w:rsid w:val="00693B8E"/>
    <w:rsid w:val="0069551F"/>
    <w:rsid w:val="00696171"/>
    <w:rsid w:val="00697A1E"/>
    <w:rsid w:val="00697DB2"/>
    <w:rsid w:val="006A0BC3"/>
    <w:rsid w:val="006B0AAD"/>
    <w:rsid w:val="006B1CB2"/>
    <w:rsid w:val="006B2A33"/>
    <w:rsid w:val="006B51B0"/>
    <w:rsid w:val="006B5D53"/>
    <w:rsid w:val="006B618B"/>
    <w:rsid w:val="006C0DCD"/>
    <w:rsid w:val="006C0F73"/>
    <w:rsid w:val="006C3E95"/>
    <w:rsid w:val="006C434F"/>
    <w:rsid w:val="006C581F"/>
    <w:rsid w:val="006C753C"/>
    <w:rsid w:val="006C7AC4"/>
    <w:rsid w:val="006D10BE"/>
    <w:rsid w:val="006D4093"/>
    <w:rsid w:val="006D6956"/>
    <w:rsid w:val="006D6E6B"/>
    <w:rsid w:val="006E2D51"/>
    <w:rsid w:val="006E3102"/>
    <w:rsid w:val="006E4FA0"/>
    <w:rsid w:val="006E62DF"/>
    <w:rsid w:val="006E6498"/>
    <w:rsid w:val="006E67BA"/>
    <w:rsid w:val="006E6B42"/>
    <w:rsid w:val="0070150A"/>
    <w:rsid w:val="00701827"/>
    <w:rsid w:val="007060CD"/>
    <w:rsid w:val="00707432"/>
    <w:rsid w:val="00712475"/>
    <w:rsid w:val="00712DFD"/>
    <w:rsid w:val="00716989"/>
    <w:rsid w:val="00716A97"/>
    <w:rsid w:val="00732215"/>
    <w:rsid w:val="00734E4D"/>
    <w:rsid w:val="00734F8B"/>
    <w:rsid w:val="0073534C"/>
    <w:rsid w:val="00736CB7"/>
    <w:rsid w:val="007379A9"/>
    <w:rsid w:val="00742D2C"/>
    <w:rsid w:val="007443E1"/>
    <w:rsid w:val="00745197"/>
    <w:rsid w:val="0075498D"/>
    <w:rsid w:val="007672DB"/>
    <w:rsid w:val="00772D0A"/>
    <w:rsid w:val="00781863"/>
    <w:rsid w:val="0078311F"/>
    <w:rsid w:val="00791635"/>
    <w:rsid w:val="0079351C"/>
    <w:rsid w:val="0079389B"/>
    <w:rsid w:val="007A0FCA"/>
    <w:rsid w:val="007A2359"/>
    <w:rsid w:val="007A593E"/>
    <w:rsid w:val="007A7BF2"/>
    <w:rsid w:val="007B609B"/>
    <w:rsid w:val="007B7749"/>
    <w:rsid w:val="007C6C39"/>
    <w:rsid w:val="007D2AEA"/>
    <w:rsid w:val="007D4D6A"/>
    <w:rsid w:val="007D50C4"/>
    <w:rsid w:val="007E4428"/>
    <w:rsid w:val="007E517C"/>
    <w:rsid w:val="007E587A"/>
    <w:rsid w:val="007F3381"/>
    <w:rsid w:val="007F5B56"/>
    <w:rsid w:val="007F76F9"/>
    <w:rsid w:val="0080066F"/>
    <w:rsid w:val="008007CC"/>
    <w:rsid w:val="00801246"/>
    <w:rsid w:val="00802A3B"/>
    <w:rsid w:val="00803FBA"/>
    <w:rsid w:val="008139AA"/>
    <w:rsid w:val="00813F65"/>
    <w:rsid w:val="008258EA"/>
    <w:rsid w:val="00831541"/>
    <w:rsid w:val="008359E1"/>
    <w:rsid w:val="00837B78"/>
    <w:rsid w:val="008423B1"/>
    <w:rsid w:val="008443EC"/>
    <w:rsid w:val="00845172"/>
    <w:rsid w:val="00845E7D"/>
    <w:rsid w:val="00845F94"/>
    <w:rsid w:val="0084765B"/>
    <w:rsid w:val="00854DB3"/>
    <w:rsid w:val="00855FD9"/>
    <w:rsid w:val="008656CD"/>
    <w:rsid w:val="00871AE7"/>
    <w:rsid w:val="00873D7E"/>
    <w:rsid w:val="008749B8"/>
    <w:rsid w:val="008836B2"/>
    <w:rsid w:val="00884006"/>
    <w:rsid w:val="00885950"/>
    <w:rsid w:val="008863BF"/>
    <w:rsid w:val="00886D08"/>
    <w:rsid w:val="00887FA7"/>
    <w:rsid w:val="008930CA"/>
    <w:rsid w:val="00895606"/>
    <w:rsid w:val="00895BD1"/>
    <w:rsid w:val="008A0D0B"/>
    <w:rsid w:val="008A1DD7"/>
    <w:rsid w:val="008A41A4"/>
    <w:rsid w:val="008A6D49"/>
    <w:rsid w:val="008B1379"/>
    <w:rsid w:val="008B1E4E"/>
    <w:rsid w:val="008B51CB"/>
    <w:rsid w:val="008B5F90"/>
    <w:rsid w:val="008B6274"/>
    <w:rsid w:val="008C0123"/>
    <w:rsid w:val="008C0907"/>
    <w:rsid w:val="008C1CF6"/>
    <w:rsid w:val="008C4016"/>
    <w:rsid w:val="008C4E0F"/>
    <w:rsid w:val="008C7D04"/>
    <w:rsid w:val="008D2CDA"/>
    <w:rsid w:val="008D4C0D"/>
    <w:rsid w:val="008D4E13"/>
    <w:rsid w:val="008D53A4"/>
    <w:rsid w:val="008E12E0"/>
    <w:rsid w:val="008E3597"/>
    <w:rsid w:val="008E37F3"/>
    <w:rsid w:val="008E5FE3"/>
    <w:rsid w:val="008E66F0"/>
    <w:rsid w:val="008E7ED6"/>
    <w:rsid w:val="008F2747"/>
    <w:rsid w:val="008F7F3A"/>
    <w:rsid w:val="009061A5"/>
    <w:rsid w:val="00906846"/>
    <w:rsid w:val="0091555B"/>
    <w:rsid w:val="00917690"/>
    <w:rsid w:val="00921AF5"/>
    <w:rsid w:val="009309DD"/>
    <w:rsid w:val="00931350"/>
    <w:rsid w:val="009319A5"/>
    <w:rsid w:val="00935B33"/>
    <w:rsid w:val="0093650E"/>
    <w:rsid w:val="009414CC"/>
    <w:rsid w:val="00944DDB"/>
    <w:rsid w:val="0095476A"/>
    <w:rsid w:val="00961227"/>
    <w:rsid w:val="009625B0"/>
    <w:rsid w:val="00967573"/>
    <w:rsid w:val="0097363C"/>
    <w:rsid w:val="00975EA7"/>
    <w:rsid w:val="00983787"/>
    <w:rsid w:val="00983E1F"/>
    <w:rsid w:val="009853C8"/>
    <w:rsid w:val="009948A2"/>
    <w:rsid w:val="0099626F"/>
    <w:rsid w:val="00997219"/>
    <w:rsid w:val="009A0D9F"/>
    <w:rsid w:val="009A102F"/>
    <w:rsid w:val="009A1479"/>
    <w:rsid w:val="009A1F2F"/>
    <w:rsid w:val="009A6F57"/>
    <w:rsid w:val="009B2112"/>
    <w:rsid w:val="009B254A"/>
    <w:rsid w:val="009C1A1F"/>
    <w:rsid w:val="009C7694"/>
    <w:rsid w:val="009C7BBD"/>
    <w:rsid w:val="009D4E3B"/>
    <w:rsid w:val="009D517D"/>
    <w:rsid w:val="009E21E5"/>
    <w:rsid w:val="009E4945"/>
    <w:rsid w:val="009F61D1"/>
    <w:rsid w:val="00A00814"/>
    <w:rsid w:val="00A0150F"/>
    <w:rsid w:val="00A046A6"/>
    <w:rsid w:val="00A04C7E"/>
    <w:rsid w:val="00A0737C"/>
    <w:rsid w:val="00A10D88"/>
    <w:rsid w:val="00A1333F"/>
    <w:rsid w:val="00A14587"/>
    <w:rsid w:val="00A178AD"/>
    <w:rsid w:val="00A2157F"/>
    <w:rsid w:val="00A23E76"/>
    <w:rsid w:val="00A25093"/>
    <w:rsid w:val="00A26EF9"/>
    <w:rsid w:val="00A4054E"/>
    <w:rsid w:val="00A41453"/>
    <w:rsid w:val="00A41814"/>
    <w:rsid w:val="00A42E3D"/>
    <w:rsid w:val="00A4551F"/>
    <w:rsid w:val="00A50BC4"/>
    <w:rsid w:val="00A53BA2"/>
    <w:rsid w:val="00A5425B"/>
    <w:rsid w:val="00A62847"/>
    <w:rsid w:val="00A65D81"/>
    <w:rsid w:val="00A72C26"/>
    <w:rsid w:val="00A77A15"/>
    <w:rsid w:val="00A830F9"/>
    <w:rsid w:val="00A87330"/>
    <w:rsid w:val="00A93E73"/>
    <w:rsid w:val="00AA2EA9"/>
    <w:rsid w:val="00AA57D0"/>
    <w:rsid w:val="00AA7AFC"/>
    <w:rsid w:val="00AB0A47"/>
    <w:rsid w:val="00AB15B6"/>
    <w:rsid w:val="00AB4003"/>
    <w:rsid w:val="00AB5519"/>
    <w:rsid w:val="00AC3A2B"/>
    <w:rsid w:val="00AD0188"/>
    <w:rsid w:val="00AD1A24"/>
    <w:rsid w:val="00AD1B21"/>
    <w:rsid w:val="00AD369F"/>
    <w:rsid w:val="00AD5604"/>
    <w:rsid w:val="00AF4FAD"/>
    <w:rsid w:val="00AF7BC4"/>
    <w:rsid w:val="00B005AB"/>
    <w:rsid w:val="00B01DDA"/>
    <w:rsid w:val="00B03E5A"/>
    <w:rsid w:val="00B22862"/>
    <w:rsid w:val="00B277E5"/>
    <w:rsid w:val="00B27EB8"/>
    <w:rsid w:val="00B325C9"/>
    <w:rsid w:val="00B3448E"/>
    <w:rsid w:val="00B34E61"/>
    <w:rsid w:val="00B375E6"/>
    <w:rsid w:val="00B428F1"/>
    <w:rsid w:val="00B52A00"/>
    <w:rsid w:val="00B53615"/>
    <w:rsid w:val="00B55A77"/>
    <w:rsid w:val="00B57BC1"/>
    <w:rsid w:val="00B61A5D"/>
    <w:rsid w:val="00B64E96"/>
    <w:rsid w:val="00B7314B"/>
    <w:rsid w:val="00B741B5"/>
    <w:rsid w:val="00B77595"/>
    <w:rsid w:val="00B8036B"/>
    <w:rsid w:val="00B814CC"/>
    <w:rsid w:val="00B8387A"/>
    <w:rsid w:val="00B841EC"/>
    <w:rsid w:val="00B84321"/>
    <w:rsid w:val="00B87600"/>
    <w:rsid w:val="00B878C5"/>
    <w:rsid w:val="00B911D8"/>
    <w:rsid w:val="00B93FB5"/>
    <w:rsid w:val="00B95495"/>
    <w:rsid w:val="00B96B4B"/>
    <w:rsid w:val="00BA00E6"/>
    <w:rsid w:val="00BA17C5"/>
    <w:rsid w:val="00BA2929"/>
    <w:rsid w:val="00BA3844"/>
    <w:rsid w:val="00BA5002"/>
    <w:rsid w:val="00BA6291"/>
    <w:rsid w:val="00BA67D0"/>
    <w:rsid w:val="00BB2882"/>
    <w:rsid w:val="00BB2948"/>
    <w:rsid w:val="00BB75FF"/>
    <w:rsid w:val="00BC01F3"/>
    <w:rsid w:val="00BC3BEA"/>
    <w:rsid w:val="00BC678E"/>
    <w:rsid w:val="00BC6926"/>
    <w:rsid w:val="00BD5BCD"/>
    <w:rsid w:val="00BE1C6E"/>
    <w:rsid w:val="00BE56C3"/>
    <w:rsid w:val="00BF24A5"/>
    <w:rsid w:val="00BF44DD"/>
    <w:rsid w:val="00C00D44"/>
    <w:rsid w:val="00C048D8"/>
    <w:rsid w:val="00C10527"/>
    <w:rsid w:val="00C11B8B"/>
    <w:rsid w:val="00C234AC"/>
    <w:rsid w:val="00C26910"/>
    <w:rsid w:val="00C37563"/>
    <w:rsid w:val="00C42679"/>
    <w:rsid w:val="00C47D2D"/>
    <w:rsid w:val="00C52EC6"/>
    <w:rsid w:val="00C575D8"/>
    <w:rsid w:val="00C576BA"/>
    <w:rsid w:val="00C60275"/>
    <w:rsid w:val="00C62A65"/>
    <w:rsid w:val="00C63220"/>
    <w:rsid w:val="00C649C1"/>
    <w:rsid w:val="00C651B3"/>
    <w:rsid w:val="00C70E35"/>
    <w:rsid w:val="00C71568"/>
    <w:rsid w:val="00C71811"/>
    <w:rsid w:val="00C74DFE"/>
    <w:rsid w:val="00C75D40"/>
    <w:rsid w:val="00C85DDE"/>
    <w:rsid w:val="00C91303"/>
    <w:rsid w:val="00CA134A"/>
    <w:rsid w:val="00CA5E27"/>
    <w:rsid w:val="00CA79D5"/>
    <w:rsid w:val="00CA7B03"/>
    <w:rsid w:val="00CB0711"/>
    <w:rsid w:val="00CB3985"/>
    <w:rsid w:val="00CB64A7"/>
    <w:rsid w:val="00CB652A"/>
    <w:rsid w:val="00CC05B0"/>
    <w:rsid w:val="00CC3E65"/>
    <w:rsid w:val="00CC5AC2"/>
    <w:rsid w:val="00CC724E"/>
    <w:rsid w:val="00CC732A"/>
    <w:rsid w:val="00CD1B1A"/>
    <w:rsid w:val="00CD3A14"/>
    <w:rsid w:val="00CD4E0D"/>
    <w:rsid w:val="00CD525C"/>
    <w:rsid w:val="00CD5783"/>
    <w:rsid w:val="00CD5CD8"/>
    <w:rsid w:val="00CF1342"/>
    <w:rsid w:val="00CF2A06"/>
    <w:rsid w:val="00CF3A4B"/>
    <w:rsid w:val="00CF5EB8"/>
    <w:rsid w:val="00CF626C"/>
    <w:rsid w:val="00CF647C"/>
    <w:rsid w:val="00D01105"/>
    <w:rsid w:val="00D01403"/>
    <w:rsid w:val="00D03BAA"/>
    <w:rsid w:val="00D040FF"/>
    <w:rsid w:val="00D049B3"/>
    <w:rsid w:val="00D0543E"/>
    <w:rsid w:val="00D0658F"/>
    <w:rsid w:val="00D07642"/>
    <w:rsid w:val="00D10609"/>
    <w:rsid w:val="00D12DD8"/>
    <w:rsid w:val="00D13D8B"/>
    <w:rsid w:val="00D175CA"/>
    <w:rsid w:val="00D17B04"/>
    <w:rsid w:val="00D20D77"/>
    <w:rsid w:val="00D2285F"/>
    <w:rsid w:val="00D406C1"/>
    <w:rsid w:val="00D42580"/>
    <w:rsid w:val="00D44E28"/>
    <w:rsid w:val="00D60E5A"/>
    <w:rsid w:val="00D636F8"/>
    <w:rsid w:val="00D64385"/>
    <w:rsid w:val="00D76ACE"/>
    <w:rsid w:val="00D76E61"/>
    <w:rsid w:val="00D80029"/>
    <w:rsid w:val="00D810E8"/>
    <w:rsid w:val="00D81B11"/>
    <w:rsid w:val="00D8466C"/>
    <w:rsid w:val="00D85ECA"/>
    <w:rsid w:val="00D870F1"/>
    <w:rsid w:val="00D9202F"/>
    <w:rsid w:val="00D956BA"/>
    <w:rsid w:val="00DA1ACF"/>
    <w:rsid w:val="00DA5759"/>
    <w:rsid w:val="00DB0340"/>
    <w:rsid w:val="00DB36C5"/>
    <w:rsid w:val="00DB7C6A"/>
    <w:rsid w:val="00DC36C2"/>
    <w:rsid w:val="00DC3BD7"/>
    <w:rsid w:val="00DC3E0D"/>
    <w:rsid w:val="00DC5739"/>
    <w:rsid w:val="00DD18A5"/>
    <w:rsid w:val="00DD4CAC"/>
    <w:rsid w:val="00DD7FAB"/>
    <w:rsid w:val="00DE12FA"/>
    <w:rsid w:val="00DE6011"/>
    <w:rsid w:val="00DF2171"/>
    <w:rsid w:val="00DF355A"/>
    <w:rsid w:val="00DF6690"/>
    <w:rsid w:val="00E00D49"/>
    <w:rsid w:val="00E0571D"/>
    <w:rsid w:val="00E061B1"/>
    <w:rsid w:val="00E073F5"/>
    <w:rsid w:val="00E11DA1"/>
    <w:rsid w:val="00E14E18"/>
    <w:rsid w:val="00E17F58"/>
    <w:rsid w:val="00E2033D"/>
    <w:rsid w:val="00E22EBA"/>
    <w:rsid w:val="00E245E3"/>
    <w:rsid w:val="00E41ACB"/>
    <w:rsid w:val="00E420B0"/>
    <w:rsid w:val="00E43089"/>
    <w:rsid w:val="00E4552D"/>
    <w:rsid w:val="00E470FC"/>
    <w:rsid w:val="00E506AC"/>
    <w:rsid w:val="00E51D34"/>
    <w:rsid w:val="00E52D8D"/>
    <w:rsid w:val="00E5350C"/>
    <w:rsid w:val="00E643C8"/>
    <w:rsid w:val="00E66289"/>
    <w:rsid w:val="00E67372"/>
    <w:rsid w:val="00E67905"/>
    <w:rsid w:val="00E67C1B"/>
    <w:rsid w:val="00E7324D"/>
    <w:rsid w:val="00E749BD"/>
    <w:rsid w:val="00E8168C"/>
    <w:rsid w:val="00E8233A"/>
    <w:rsid w:val="00E82485"/>
    <w:rsid w:val="00E904A4"/>
    <w:rsid w:val="00E93ACF"/>
    <w:rsid w:val="00E952D5"/>
    <w:rsid w:val="00E963C5"/>
    <w:rsid w:val="00EA10F3"/>
    <w:rsid w:val="00EA4F29"/>
    <w:rsid w:val="00EA7037"/>
    <w:rsid w:val="00EC4BBC"/>
    <w:rsid w:val="00EC503E"/>
    <w:rsid w:val="00EC7C19"/>
    <w:rsid w:val="00ED7C20"/>
    <w:rsid w:val="00EE1A19"/>
    <w:rsid w:val="00EE232E"/>
    <w:rsid w:val="00EF0CC7"/>
    <w:rsid w:val="00EF1359"/>
    <w:rsid w:val="00EF1A20"/>
    <w:rsid w:val="00EF3601"/>
    <w:rsid w:val="00EF5F0E"/>
    <w:rsid w:val="00EF7976"/>
    <w:rsid w:val="00F000D0"/>
    <w:rsid w:val="00F01665"/>
    <w:rsid w:val="00F021EE"/>
    <w:rsid w:val="00F052E8"/>
    <w:rsid w:val="00F05CBA"/>
    <w:rsid w:val="00F061DE"/>
    <w:rsid w:val="00F067EF"/>
    <w:rsid w:val="00F12339"/>
    <w:rsid w:val="00F12C85"/>
    <w:rsid w:val="00F14A23"/>
    <w:rsid w:val="00F303DE"/>
    <w:rsid w:val="00F45EE5"/>
    <w:rsid w:val="00F461D1"/>
    <w:rsid w:val="00F50C56"/>
    <w:rsid w:val="00F50E80"/>
    <w:rsid w:val="00F50E9A"/>
    <w:rsid w:val="00F5164C"/>
    <w:rsid w:val="00F520F5"/>
    <w:rsid w:val="00F52BEE"/>
    <w:rsid w:val="00F57702"/>
    <w:rsid w:val="00F60250"/>
    <w:rsid w:val="00F63B08"/>
    <w:rsid w:val="00F67399"/>
    <w:rsid w:val="00F72799"/>
    <w:rsid w:val="00F72924"/>
    <w:rsid w:val="00F75EBE"/>
    <w:rsid w:val="00F77D46"/>
    <w:rsid w:val="00F81CB7"/>
    <w:rsid w:val="00F82053"/>
    <w:rsid w:val="00F84B36"/>
    <w:rsid w:val="00F8647F"/>
    <w:rsid w:val="00F95063"/>
    <w:rsid w:val="00F96F47"/>
    <w:rsid w:val="00F97E93"/>
    <w:rsid w:val="00FB22D9"/>
    <w:rsid w:val="00FC22F4"/>
    <w:rsid w:val="00FD15A3"/>
    <w:rsid w:val="00FD27DB"/>
    <w:rsid w:val="00FD3CAD"/>
    <w:rsid w:val="00FE2DBF"/>
    <w:rsid w:val="00FE55FE"/>
    <w:rsid w:val="00FE5F53"/>
    <w:rsid w:val="00FE73DE"/>
    <w:rsid w:val="00FF151C"/>
    <w:rsid w:val="00FF4EB6"/>
    <w:rsid w:val="00FF5B21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styleId="Hyperlink">
    <w:name w:val="Hyperlink"/>
    <w:basedOn w:val="DefaultParagraphFont"/>
    <w:rsid w:val="006B51B0"/>
    <w:rPr>
      <w:color w:val="0000FF"/>
      <w:u w:val="single"/>
    </w:rPr>
  </w:style>
  <w:style w:type="paragraph" w:styleId="BalloonText">
    <w:name w:val="Balloon Text"/>
    <w:basedOn w:val="Normal"/>
    <w:semiHidden/>
    <w:rsid w:val="000F2F6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72DA9"/>
    <w:rPr>
      <w:i/>
      <w:iCs/>
    </w:rPr>
  </w:style>
  <w:style w:type="paragraph" w:customStyle="1" w:styleId="Default">
    <w:name w:val="Default"/>
    <w:rsid w:val="00F52B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52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06D3"/>
    <w:pPr>
      <w:ind w:left="720"/>
    </w:pPr>
    <w:rPr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106D3"/>
    <w:rPr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3106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4E4D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0D3F73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basedOn w:val="DefaultParagraphFont"/>
    <w:uiPriority w:val="99"/>
    <w:qFormat/>
    <w:rsid w:val="000D3F73"/>
    <w:rPr>
      <w:rFonts w:cs="Times New Roman"/>
      <w:b/>
      <w:bCs/>
    </w:rPr>
  </w:style>
  <w:style w:type="paragraph" w:customStyle="1" w:styleId="BankNormal">
    <w:name w:val="BankNormal"/>
    <w:basedOn w:val="Normal"/>
    <w:rsid w:val="00164814"/>
    <w:pPr>
      <w:spacing w:after="240"/>
    </w:pPr>
    <w:rPr>
      <w:lang w:val="sr-Latn-CS"/>
    </w:rPr>
  </w:style>
  <w:style w:type="paragraph" w:customStyle="1" w:styleId="Sub-ClauseText">
    <w:name w:val="Sub-Clause Text"/>
    <w:basedOn w:val="Normal"/>
    <w:rsid w:val="00231BC1"/>
    <w:pPr>
      <w:spacing w:before="120" w:after="120"/>
      <w:jc w:val="both"/>
    </w:pPr>
    <w:rPr>
      <w:spacing w:val="-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1473-76A5-486D-8FC9-FDB12892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PC</cp:lastModifiedBy>
  <cp:revision>18</cp:revision>
  <cp:lastPrinted>2012-02-02T15:12:00Z</cp:lastPrinted>
  <dcterms:created xsi:type="dcterms:W3CDTF">2012-02-03T10:01:00Z</dcterms:created>
  <dcterms:modified xsi:type="dcterms:W3CDTF">2012-02-03T13:53:00Z</dcterms:modified>
</cp:coreProperties>
</file>