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CF67" w14:textId="77777777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176EB291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8E2B" w14:textId="77777777" w:rsidR="00421C6D" w:rsidRPr="00C13DF4" w:rsidRDefault="00421C6D" w:rsidP="00BC467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C2BE" w14:textId="1D145D82" w:rsidR="00421C6D" w:rsidRPr="00C13DF4" w:rsidRDefault="00F5074E" w:rsidP="00FD556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FD55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projektovanja i izvođenja radova na </w:t>
            </w:r>
            <w:r w:rsidR="0074669E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214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izgradnj</w:t>
            </w:r>
            <w:r w:rsidR="00FD55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="00F214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D3394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</w:t>
            </w:r>
            <w:r w:rsidR="00FD55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214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montažnih kuća</w:t>
            </w:r>
          </w:p>
        </w:tc>
      </w:tr>
      <w:tr w:rsidR="002D6E25" w:rsidRPr="00C13DF4" w14:paraId="0BE8ECC0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195B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5FC6" w14:textId="77777777" w:rsidR="002D6E25" w:rsidRPr="00C13DF4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C13DF4" w14:paraId="472F5FC4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2F9D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38F2" w14:textId="77777777"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F937EDF" w14:textId="77777777" w:rsidTr="00D9486D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ABB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3D2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E81E" w14:textId="677391F6" w:rsidR="002D6E25" w:rsidRPr="00860DDD" w:rsidRDefault="00B017B9" w:rsidP="00882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1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="00D339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B01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-PH</w:t>
            </w:r>
            <w:r w:rsidR="008823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-CW</w:t>
            </w:r>
            <w:r w:rsidRPr="00B01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/NOP1-20</w:t>
            </w:r>
            <w:r w:rsidR="008823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2D6E25" w:rsidRPr="00C13DF4" w14:paraId="4EAC6BB7" w14:textId="77777777" w:rsidTr="00D9486D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EC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53B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682C23A" w14:textId="77777777" w:rsidTr="00D9486D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311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D828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5518" w14:textId="77777777"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221A360A" w14:textId="47352633" w:rsidR="00B172D4" w:rsidRPr="00D3394A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0B38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B017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Ugovor o donaciji zaključen između Banke za razvoj saveta Evrope i Republike Srb</w:t>
            </w:r>
            <w:r w:rsidR="00D3394A">
              <w:rPr>
                <w:rFonts w:ascii="Times New Roman" w:hAnsi="Times New Roman" w:cs="Times New Roman"/>
                <w:sz w:val="24"/>
                <w:szCs w:val="24"/>
              </w:rPr>
              <w:t>ije u vezi sa realizacijom devetog</w:t>
            </w:r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 xml:space="preserve">potprojekta Regionalnog programa stambenog zbrinjavanja </w:t>
            </w:r>
            <w:r w:rsidR="00D3394A" w:rsidRPr="00D3394A">
              <w:rPr>
                <w:rFonts w:ascii="Times New Roman" w:hAnsi="Times New Roman" w:cs="Times New Roman"/>
                <w:sz w:val="24"/>
                <w:szCs w:val="24"/>
              </w:rPr>
              <w:t>od 07.03.2019</w:t>
            </w:r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  <w:r w:rsidR="00D3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97D993" w14:textId="77777777" w:rsidR="002D6E25" w:rsidRPr="00C13DF4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1ED1AFE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258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983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55DE672" w14:textId="77777777" w:rsidTr="00D9486D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849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65A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AF67" w14:textId="77777777" w:rsidR="002D6E25" w:rsidRPr="00C13DF4" w:rsidRDefault="004E413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''Jedinica za upravljanje projektima u javnom sektoru''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0806B478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900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77D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4EF7A5D" w14:textId="77777777" w:rsidTr="00D9486D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18C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E163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FB3" w14:textId="77777777"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50AC90BE" w14:textId="77777777" w:rsidTr="00D9486D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E6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B18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5699FAF" w14:textId="77777777" w:rsidTr="00D9486D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A20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2B61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0899" w14:textId="77777777" w:rsidR="002D6E25" w:rsidRPr="00C13DF4" w:rsidRDefault="0042028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23B43E35" w14:textId="77777777" w:rsidTr="00D9486D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EF1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27A2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E82E2C9" w14:textId="77777777" w:rsidTr="00D948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2E40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3387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998F" w14:textId="77777777" w:rsidR="000E259C" w:rsidRPr="00C13DF4" w:rsidRDefault="00682EF0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Nacionalni </w:t>
            </w:r>
            <w:r w:rsidR="00860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tvoreni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C13DF4" w14:paraId="55906BC4" w14:textId="77777777" w:rsidTr="00D9486D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F8B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20BA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0B4A9D4" w14:textId="77777777" w:rsidTr="00D948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2322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9C87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C455" w14:textId="77777777" w:rsidR="002D6E25" w:rsidRPr="00C13DF4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2D6E25" w:rsidRPr="00C13DF4" w14:paraId="6F720D41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F4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F958" w14:textId="77777777" w:rsidR="004E413E" w:rsidRDefault="00F5074E" w:rsidP="004E413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>radova za izgradnju montažnih kuća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13E" w:rsidRPr="004E413E">
              <w:rPr>
                <w:rFonts w:ascii="Times New Roman" w:hAnsi="Times New Roman" w:cs="Times New Roman"/>
                <w:sz w:val="24"/>
                <w:szCs w:val="24"/>
              </w:rPr>
              <w:t>45223821</w:t>
            </w:r>
          </w:p>
          <w:p w14:paraId="45DF682E" w14:textId="7C657FAE" w:rsidR="002324D3" w:rsidRPr="006911E6" w:rsidRDefault="00F5074E" w:rsidP="00E77E6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sporazumu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implementaciji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stambenom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zbrinjavanju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Srbiji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izgradnja montažnih porodičnih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116D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116D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predviđen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jedan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modaliteta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0B38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Montažne kuće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koji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će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biti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sproveden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više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implementacionih</w:t>
            </w:r>
            <w:r w:rsidR="00D62872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faza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26AC83EE" w14:textId="77777777" w:rsidR="002324D3" w:rsidRPr="00D62872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Pomenuti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modalitet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definisan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>pružanje podrške izbegli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integri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putem nabavke montažnih</w:t>
            </w:r>
            <w:r w:rsidR="00346A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porodičnih kuća.</w:t>
            </w:r>
          </w:p>
          <w:p w14:paraId="434E056C" w14:textId="4B4229D1" w:rsidR="00991AEC" w:rsidRDefault="00F5074E" w:rsidP="00991A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Obim</w:t>
            </w:r>
            <w:r w:rsidR="002324D3"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r w:rsidR="002324D3"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2324D3"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r w:rsidR="002324D3"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DD">
              <w:rPr>
                <w:rFonts w:ascii="Times New Roman" w:hAnsi="Times New Roman" w:cs="Times New Roman"/>
                <w:sz w:val="24"/>
                <w:szCs w:val="24"/>
              </w:rPr>
              <w:t xml:space="preserve">projektovanje i izgradnju </w:t>
            </w:r>
            <w:r w:rsidR="00D339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</w:t>
            </w:r>
            <w:r w:rsidR="004E413E">
              <w:rPr>
                <w:rFonts w:ascii="Times New Roman" w:hAnsi="Times New Roman" w:cs="Times New Roman"/>
                <w:sz w:val="24"/>
                <w:szCs w:val="24"/>
              </w:rPr>
              <w:t xml:space="preserve"> montažn</w:t>
            </w:r>
            <w:r w:rsidR="007E3A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ih</w:t>
            </w:r>
            <w:r w:rsidR="004E413E">
              <w:rPr>
                <w:rFonts w:ascii="Times New Roman" w:hAnsi="Times New Roman" w:cs="Times New Roman"/>
                <w:sz w:val="24"/>
                <w:szCs w:val="24"/>
              </w:rPr>
              <w:t xml:space="preserve"> kuć</w:t>
            </w:r>
            <w:r w:rsidR="007E3A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991AEC">
              <w:rPr>
                <w:rFonts w:ascii="Times New Roman" w:hAnsi="Times New Roman" w:cs="Times New Roman"/>
                <w:sz w:val="24"/>
                <w:szCs w:val="24"/>
              </w:rPr>
              <w:t xml:space="preserve">, na lokacijama datim u </w:t>
            </w:r>
            <w:r w:rsidR="007245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delu </w:t>
            </w:r>
            <w:r w:rsidR="00055AE9">
              <w:rPr>
                <w:rFonts w:ascii="Times New Roman" w:hAnsi="Times New Roman" w:cs="Times New Roman"/>
                <w:sz w:val="24"/>
                <w:szCs w:val="24"/>
              </w:rPr>
              <w:t>tenderske dokumentacije</w:t>
            </w:r>
            <w:r w:rsidR="00991AEC">
              <w:rPr>
                <w:rFonts w:ascii="Times New Roman" w:hAnsi="Times New Roman" w:cs="Times New Roman"/>
                <w:sz w:val="24"/>
                <w:szCs w:val="24"/>
              </w:rPr>
              <w:t xml:space="preserve"> – Uslovi naručioca</w:t>
            </w:r>
            <w:r w:rsidR="00055AE9">
              <w:rPr>
                <w:rFonts w:ascii="Times New Roman" w:hAnsi="Times New Roman" w:cs="Times New Roman"/>
                <w:sz w:val="24"/>
                <w:szCs w:val="24"/>
              </w:rPr>
              <w:t xml:space="preserve"> za projektovanje-izgradnju prefabrikovanih kuća</w:t>
            </w:r>
            <w:r w:rsidR="0099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2D069" w14:textId="77777777" w:rsidR="00083F35" w:rsidRPr="00C13DF4" w:rsidRDefault="00991AEC" w:rsidP="00991A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E25" w:rsidRPr="00C13DF4" w14:paraId="5BF815AA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70E6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EBD1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860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predmet nabavke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769D" w14:textId="77777777" w:rsidR="002D6E25" w:rsidRPr="00BE21CC" w:rsidRDefault="00860DD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Predmet nabavke nije podeljen na partije</w:t>
            </w:r>
          </w:p>
        </w:tc>
      </w:tr>
      <w:tr w:rsidR="007E3A0A" w:rsidRPr="00C13DF4" w14:paraId="25BD0EA1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F02D" w14:textId="77777777" w:rsidR="007E3A0A" w:rsidRPr="003D2D02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CAE3" w14:textId="77777777" w:rsidR="007E3A0A" w:rsidRPr="003D2D02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2674" w14:textId="0BE30462" w:rsidR="003604B6" w:rsidRPr="00383E22" w:rsidRDefault="00383E22" w:rsidP="00D3394A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3E2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1.028.168,68 EUR (bez PDV)</w:t>
            </w:r>
          </w:p>
        </w:tc>
      </w:tr>
      <w:tr w:rsidR="002D6E25" w:rsidRPr="00C13DF4" w14:paraId="0D06F214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EBD6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572C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75D27B55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9A7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BA94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97A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C13DF4" w14:paraId="55A38173" w14:textId="77777777" w:rsidTr="00D9486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55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7AE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8C83CA7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061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C773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6F77FC2F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9D2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8369" w14:textId="77777777"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</w:t>
            </w:r>
            <w:r w:rsidR="007245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28B62D5C" w14:textId="77777777" w:rsidR="002D6E25" w:rsidRDefault="00420288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7E3AED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6FF6F092" w14:textId="77777777" w:rsidR="007E3AED" w:rsidRPr="00C13DF4" w:rsidRDefault="007E3AED" w:rsidP="00A47B3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C13DF4" w14:paraId="2CE3AC7D" w14:textId="77777777" w:rsidTr="00D9486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8DA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611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76B8914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F7E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01A2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AEBCD05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AD5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C961" w14:textId="77777777" w:rsidR="009C3B32" w:rsidRPr="00BF6E83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BD2D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83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r w:rsidR="00BF6E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e:</w:t>
            </w:r>
          </w:p>
          <w:p w14:paraId="7FB156B1" w14:textId="77777777" w:rsidR="00215659" w:rsidRPr="00C13DF4" w:rsidRDefault="00A92081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Ekonomski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finansijski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57B6F1" w14:textId="77777777" w:rsidR="00215659" w:rsidRPr="00C13DF4" w:rsidRDefault="00215659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1218" w14:textId="03C83E33" w:rsidR="00AF4F5F" w:rsidRPr="003D2D02" w:rsidRDefault="00AF4F5F" w:rsidP="003D2D02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Likvidnost:</w:t>
            </w:r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Da ponuđač nije imao registrovane blokade računa u poslednjih dvanaest (12) meseci do dana objavljivanja javnog poziva za podnošenje ponuda. </w:t>
            </w:r>
          </w:p>
          <w:p w14:paraId="294CF4B1" w14:textId="24D06913" w:rsidR="00AF4F5F" w:rsidRPr="00AF4F5F" w:rsidRDefault="002B02C8" w:rsidP="00AF4F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slučaju Zajedničke ponude/Konzorcijuma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vaj uslov se odnosi na sve članove grupe ponuđača pojedinačno.</w:t>
            </w:r>
          </w:p>
          <w:p w14:paraId="0853F934" w14:textId="36DBBEF2" w:rsidR="00AF4F5F" w:rsidRPr="00AF4F5F" w:rsidRDefault="00AF4F5F" w:rsidP="00AF4F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Ukoliko se ponuda podnosi sa podizvođačem</w:t>
            </w:r>
            <w:r w:rsidR="002B02C8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vaj uslov se odnosi na sve podizvođače pojedinačno.</w:t>
            </w:r>
          </w:p>
          <w:p w14:paraId="5B33B2B3" w14:textId="4BE317EF" w:rsidR="00486582" w:rsidRDefault="00AF4F5F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Dokaz: Potvrda Narodne banke Srbije, odnosno nadležne institucije države sedišta ponuđača, o broju dana nelikvidnosti.</w:t>
            </w:r>
          </w:p>
          <w:p w14:paraId="695B5836" w14:textId="621A0E6E" w:rsidR="00E53E75" w:rsidRPr="00811FA3" w:rsidRDefault="00E53E75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05411FD" w14:textId="77777777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Stečaj i likvidacija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: Da nad ponuđačem nije pokrenut postupak stečaja ili likvidacije, odnosno prethodni stečajni postupak.</w:t>
            </w:r>
          </w:p>
          <w:p w14:paraId="64431935" w14:textId="2F04F1D8" w:rsidR="00486582" w:rsidRPr="00486582" w:rsidRDefault="008168C8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8">
              <w:rPr>
                <w:rFonts w:ascii="Times New Roman" w:hAnsi="Times New Roman" w:cs="Times New Roman"/>
                <w:sz w:val="24"/>
                <w:szCs w:val="24"/>
              </w:rPr>
              <w:t>U slučaju Zajedničke ponude/Konzorcijuma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vaj uslov se odnosi na sve članove grupe ponuđača pojedinačno.</w:t>
            </w:r>
          </w:p>
          <w:p w14:paraId="7D2B01A8" w14:textId="38D088FD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Ukoliko se p</w:t>
            </w:r>
            <w:r w:rsidR="00242AF5">
              <w:rPr>
                <w:rFonts w:ascii="Times New Roman" w:hAnsi="Times New Roman" w:cs="Times New Roman"/>
                <w:sz w:val="24"/>
                <w:szCs w:val="24"/>
              </w:rPr>
              <w:t>onuda podnosi sa podizvođačem, o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vaj uslov se odnosi na sve podizvođače pojedinačno.</w:t>
            </w:r>
          </w:p>
          <w:p w14:paraId="55878341" w14:textId="00EF2954" w:rsidR="00E53E75" w:rsidRPr="00E53E75" w:rsidRDefault="0048658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Dokaz: Izjava ponuđača data pod krivičnom i materijalnog odgovornošću da nad ponuđačem nije pokrenut postupak stečaja ili likvidacije, odnosno prethodni stečajni postupak do momenta objavljivanja poziva za podnošenje ponuda</w:t>
            </w:r>
          </w:p>
          <w:p w14:paraId="4AC32B9B" w14:textId="22794035" w:rsidR="00385AAE" w:rsidRPr="0030662F" w:rsidRDefault="00E53E75" w:rsidP="00860D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92081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B4AC0"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Ukup</w:t>
            </w:r>
            <w:r w:rsidR="00CB4AC0" w:rsidRPr="003D2D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an</w:t>
            </w:r>
            <w:r w:rsidR="00CB4AC0"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poslovni prihod</w:t>
            </w:r>
            <w:r w:rsidR="007126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: </w:t>
            </w:r>
            <w:r w:rsidR="00283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1.</w:t>
            </w:r>
            <w:r w:rsidR="00F23DF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540</w:t>
            </w:r>
            <w:r w:rsidR="00712654" w:rsidRPr="00306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.000,00 EUR</w:t>
            </w:r>
            <w:r w:rsidR="002C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*</w:t>
            </w:r>
            <w:r w:rsidR="007126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712654" w:rsidRPr="003D2D0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za</w:t>
            </w:r>
            <w:r w:rsidR="007126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CB4AC0" w:rsidRPr="005422B5">
              <w:rPr>
                <w:rFonts w:ascii="Times New Roman" w:hAnsi="Times New Roman" w:cs="Times New Roman"/>
                <w:sz w:val="24"/>
                <w:szCs w:val="24"/>
              </w:rPr>
              <w:t>poslednje tri godine (201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CB4AC0" w:rsidRPr="005422B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CB4AC0" w:rsidRPr="005422B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7B62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D4AE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).</w:t>
            </w:r>
          </w:p>
          <w:p w14:paraId="3C6CAEBA" w14:textId="7876CB78" w:rsidR="002C5C6D" w:rsidRPr="002F7373" w:rsidRDefault="002C5C6D" w:rsidP="002C5C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* </w:t>
            </w:r>
            <w:r w:rsidR="00F70AAC" w:rsidRPr="00F70A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ocenu ispunjenosti ovog uslova, primenjivaće se srednji kurs za evro Narodne banke Srbije koji je bio važeći na kraju izveštajnog perioda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3077F21C" w14:textId="77777777" w:rsidR="00860DDD" w:rsidRPr="00860DDD" w:rsidRDefault="00860DDD" w:rsidP="00860D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048FDC2A" w14:textId="77777777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1DFDEF62" w14:textId="77777777" w:rsidR="002C5C6D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Dokaz: Obrazac 4.4 Finansijski izveštaj</w:t>
            </w:r>
          </w:p>
          <w:p w14:paraId="5BD04BB4" w14:textId="77777777" w:rsidR="00744858" w:rsidRPr="00D80D41" w:rsidRDefault="00744858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1DD8" w14:textId="77777777" w:rsidR="000B4C17" w:rsidRPr="00034558" w:rsidRDefault="00A92081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ponuđača:</w:t>
            </w:r>
          </w:p>
          <w:p w14:paraId="3686BF10" w14:textId="77777777" w:rsidR="000B4C17" w:rsidRPr="000B4C17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8940" w14:textId="275DD493" w:rsidR="000B4C17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Ponuđač mora da obezbedi</w:t>
            </w:r>
            <w:r w:rsidR="009B67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minimum</w:t>
            </w:r>
            <w:r w:rsidRPr="000B4C17">
              <w:rPr>
                <w:rFonts w:ascii="Times New Roman" w:hAnsi="Times New Roman" w:cs="Times New Roman"/>
                <w:sz w:val="24"/>
                <w:szCs w:val="24"/>
              </w:rPr>
              <w:t xml:space="preserve"> sledeća lica</w:t>
            </w:r>
            <w:r w:rsidR="00636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F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koja će biti angažovana na realizaciji ugovora (Ključno osoblje</w:t>
            </w:r>
            <w:r w:rsidR="00636F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9143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Dolenavedena lica mogu biti radno angažovana po bilo kom osnovu:.</w:t>
            </w:r>
          </w:p>
          <w:p w14:paraId="7B0A3E2E" w14:textId="77777777" w:rsidR="000B4C17" w:rsidRPr="0030662F" w:rsidRDefault="00220AE2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66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a) Projektovanje: </w:t>
            </w:r>
          </w:p>
          <w:p w14:paraId="5300540F" w14:textId="77777777" w:rsidR="00C13640" w:rsidRPr="0030662F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arhitekture</w:t>
            </w:r>
            <w:r w:rsidR="0080525D" w:rsidRPr="0030662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877871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licenca 300 ili 301 ili 302 i </w:t>
            </w: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licenca 310 ili 311 ili </w:t>
            </w:r>
            <w:r w:rsidR="00877871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 (minimum 1 (jedno) angažovano lice</w:t>
            </w: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</w:t>
            </w:r>
            <w:r w:rsidR="0030662F" w:rsidRPr="0030662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="00220AE2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30662F" w:rsidRPr="0030662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</w:t>
            </w:r>
            <w:r w:rsidR="00220AE2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et)</w:t>
            </w: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godina radnog iskustva </w:t>
            </w:r>
            <w:r w:rsidR="00877871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iskustvom u realizaciji minimum 5</w:t>
            </w:r>
            <w:r w:rsidR="0080525D" w:rsidRPr="0030662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220AE2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(pet)</w:t>
            </w:r>
            <w:r w:rsidR="00877871"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sličn</w:t>
            </w:r>
            <w:r w:rsid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ih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projek</w:t>
            </w:r>
            <w:r w:rsid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</w:t>
            </w:r>
            <w:r w:rsidRPr="00306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4EA5AC46" w14:textId="77777777" w:rsidR="00C13640" w:rsidRPr="00996FC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-Diplomirani inženjer elektrotehnike – licenca 350 </w:t>
            </w:r>
            <w:r w:rsidR="003202C7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(minimum 1 (jedno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angažovano lice</w:t>
            </w:r>
            <w:r w:rsidR="003202C7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</w:t>
            </w:r>
            <w:r w:rsidR="0030662F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(tri) godine radnog </w:t>
            </w:r>
            <w:r w:rsidR="003202C7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 i iskustvom u re</w:t>
            </w:r>
            <w:r w:rsidR="00F12418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alizaciji minimum 3 (tri) slična projek</w:t>
            </w:r>
            <w:r w:rsidR="003202C7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44CED7B1" w14:textId="77777777" w:rsidR="00C13640" w:rsidRPr="00996FC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elekt</w:t>
            </w:r>
            <w:r w:rsidR="002A52A2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rotehnike – licenca 353 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2A52A2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 1 (jedno) angažovano lice sa minimum 3 (tri) godine radnog iskustva i iskustvom u realizaciji minimum 3 (tri) slična projekta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2A52A2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E35681C" w14:textId="77777777" w:rsidR="002A52A2" w:rsidRPr="00996FC6" w:rsidRDefault="002A52A2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Diplomirani mašinski inženjer termo-tehničkih instalacija  - licenca 330 (minimum 1 (jedno) angažovano lice sa minimum 3 (tri) godine radnog iskustva i iskustvom u 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realizaciji minimum 3 (tri) slična projekta);</w:t>
            </w:r>
          </w:p>
          <w:p w14:paraId="71E7C699" w14:textId="77777777" w:rsidR="002A52A2" w:rsidRPr="00996FC6" w:rsidRDefault="002A52A2" w:rsidP="002A52A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Diplomirani inženjer sa licencom 381</w:t>
            </w:r>
            <w:r w:rsidRPr="00996FC6">
              <w:rPr>
                <w:color w:val="auto"/>
                <w:szCs w:val="24"/>
              </w:rPr>
              <w:t xml:space="preserve"> 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(minimum 1 (jedno) angažovano lice sa minimum 3 (tri) godine radnog iskustva i iskustvom u realizaciji minimum 3 (tri) slična projekta);</w:t>
            </w:r>
          </w:p>
          <w:p w14:paraId="63BABFE9" w14:textId="77777777" w:rsidR="000B4C17" w:rsidRPr="00996FC6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-K</w:t>
            </w:r>
            <w:r w:rsid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</w:t>
            </w:r>
            <w:r w:rsidR="001859F5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inator za b</w:t>
            </w:r>
            <w:r w:rsidR="007D6334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ezbednost i zdravlje na radu u f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azi </w:t>
            </w:r>
            <w:r w:rsidR="00A35C04" w:rsidRPr="00996FC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izrade </w:t>
            </w:r>
            <w:r w:rsidR="00A35C04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projekta</w:t>
            </w:r>
            <w:r w:rsidR="007D6334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(minimum 1 (jedno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angažovano lice</w:t>
            </w:r>
            <w:r w:rsidR="007D6334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 minimum 1 (jednom) godinom radnog iskustva i iskustvom u realizaciji minimum 1 (jednog) sličnog projekta</w:t>
            </w:r>
            <w:r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2A52A2" w:rsidRPr="00996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E612FE1" w14:textId="77777777" w:rsidR="00F12418" w:rsidRPr="007670BA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b) Radovi: </w:t>
            </w:r>
          </w:p>
          <w:p w14:paraId="4176833C" w14:textId="77777777" w:rsidR="00F12418" w:rsidRPr="007670BA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-Diplomirani inženjer građevine – licenca 400 ili 401 ili 410 ili 411 (minimum 1 (jedno) angažovano lice sa minimum 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7670BA" w:rsidRPr="007670B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pet</w:t>
            </w:r>
            <w:r w:rsidRPr="00767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godina radnog iskustva i iskustvom u realizaciji minimum 5(pet) sličnih projekata);</w:t>
            </w:r>
          </w:p>
          <w:p w14:paraId="7A956CFC" w14:textId="77777777" w:rsidR="00F12418" w:rsidRPr="000F36B2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elektrotehnike – licenca 450 (minimum 1 (jedno) angažovano lice sa minimum 3 (tri) godine radnog iskustva i iskustvom u realizaciji minimum 3 (tri) slična projekta);</w:t>
            </w:r>
          </w:p>
          <w:p w14:paraId="5182F7BB" w14:textId="77777777" w:rsidR="00F12418" w:rsidRPr="000F36B2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-Diplomirani inženjer elektrotehnike – licenca 453 (minimum 1 (jedno) angažovano lice sa minimum 3 (tri) godine radnog iskustva i iskustvom u realizaciji minimum 3 (tri) slična projekta);</w:t>
            </w:r>
          </w:p>
          <w:p w14:paraId="2866A843" w14:textId="77777777" w:rsidR="00F12418" w:rsidRPr="000F36B2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Diplomirani mašinski inženjer termo-tehničkih instalacija</w:t>
            </w:r>
            <w:r w:rsidR="007D6334"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- licenca 4</w:t>
            </w: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(minimum 1 (jedno) angažovano lice sa minimum 3 (tri) godine radnog iskustva i iskustvom u realizaciji minimum 3 (tri) slična projekta);</w:t>
            </w:r>
          </w:p>
          <w:p w14:paraId="0551D854" w14:textId="77777777" w:rsidR="007D6334" w:rsidRPr="000F36B2" w:rsidRDefault="007D6334" w:rsidP="007D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Lice odgovorno za bezbednost i zdravlje na radu u fazi izvođenja radova (minimum 1 (jedno) angažovano lice sa minimum 1 (jednom) godinom radnog iskustva i iskustvom u realizaciji minimum 1 (jednog) sličnog projekta).</w:t>
            </w:r>
          </w:p>
          <w:p w14:paraId="2FE4B4A8" w14:textId="77777777" w:rsidR="00C13640" w:rsidRPr="00FB0D5D" w:rsidRDefault="00C13640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73F355F6" w14:textId="77777777" w:rsidR="009B677C" w:rsidRPr="009B677C" w:rsidRDefault="009B677C" w:rsidP="009B67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9B67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U slučaju podnošenja zajedničke ponude/konzorcijuma, svi članovi zajedničke ponude/konzorcijuma zajednički ispunjavanju navedeni uslov.</w:t>
            </w:r>
          </w:p>
          <w:p w14:paraId="5935C2C4" w14:textId="26755810" w:rsidR="000B4C17" w:rsidRPr="000F36B2" w:rsidRDefault="00C17578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14:paraId="7E7DB18A" w14:textId="7EC026CA" w:rsidR="000B4C17" w:rsidRDefault="000B4C17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0F36B2">
              <w:rPr>
                <w:szCs w:val="24"/>
              </w:rPr>
              <w:t xml:space="preserve">Napomena: Sva angažovana lica moraju da imaju važeće licence izdate od strane </w:t>
            </w:r>
            <w:r w:rsidR="00E468D7">
              <w:rPr>
                <w:szCs w:val="24"/>
                <w:lang w:val="sr-Latn-CS"/>
              </w:rPr>
              <w:t>nadležnih</w:t>
            </w:r>
            <w:r w:rsidR="00255F22">
              <w:rPr>
                <w:szCs w:val="24"/>
                <w:lang w:val="sr-Latn-CS"/>
              </w:rPr>
              <w:t xml:space="preserve"> </w:t>
            </w:r>
            <w:r w:rsidRPr="000F36B2">
              <w:rPr>
                <w:szCs w:val="24"/>
              </w:rPr>
              <w:t>institucija Republike Srbije. U slučaju da je ponuđač kome je dodeljen ugovor iz strane zemlje ili da ponuđač iz zemlje Naručioca angažuje strane državljane u obavezi je angažovati isključivo lica koja imaju dozvolu za rad koja je u skladu sa propisima Republike Srbije.</w:t>
            </w:r>
          </w:p>
          <w:p w14:paraId="2269F9D9" w14:textId="70F5448D" w:rsidR="00DE6505" w:rsidRPr="00DE6505" w:rsidRDefault="00DE6505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DE6505">
              <w:rPr>
                <w:szCs w:val="24"/>
              </w:rPr>
              <w:t>Dokaz:</w:t>
            </w:r>
            <w:r w:rsidR="00FE2B52">
              <w:rPr>
                <w:szCs w:val="24"/>
                <w:lang w:val="sr-Latn-CS"/>
              </w:rPr>
              <w:t xml:space="preserve"> </w:t>
            </w:r>
          </w:p>
          <w:p w14:paraId="56A2CE80" w14:textId="0060A24A" w:rsidR="00DE6505" w:rsidRPr="000F36B2" w:rsidRDefault="00DE6505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DE6505">
              <w:rPr>
                <w:szCs w:val="24"/>
              </w:rPr>
              <w:t>•</w:t>
            </w:r>
            <w:r w:rsidRPr="00DE6505">
              <w:rPr>
                <w:szCs w:val="24"/>
              </w:rPr>
              <w:tab/>
              <w:t xml:space="preserve">Spisak predloženog osoblja za potrebe realizacije ugovora, sa biografijama ključnog osoblja, kopijama licenci/rešenja i izjavama o </w:t>
            </w:r>
            <w:r w:rsidR="000569A1">
              <w:rPr>
                <w:szCs w:val="24"/>
              </w:rPr>
              <w:t xml:space="preserve">angažovanju (obrasci 4.5.1.2,  </w:t>
            </w:r>
            <w:r w:rsidRPr="00DE6505">
              <w:rPr>
                <w:szCs w:val="24"/>
              </w:rPr>
              <w:t xml:space="preserve"> 4.5.1.3 i 4.5.1.4).</w:t>
            </w:r>
          </w:p>
          <w:p w14:paraId="3ED8E815" w14:textId="77777777" w:rsidR="000B4C17" w:rsidRPr="00034558" w:rsidRDefault="000B4C17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  <w:lang w:val="sr-Latn-CS"/>
              </w:rPr>
            </w:pPr>
            <w:r w:rsidRPr="00034558">
              <w:rPr>
                <w:b/>
                <w:szCs w:val="24"/>
              </w:rPr>
              <w:t>3) Tehnički kapacitet ponuđača:</w:t>
            </w:r>
          </w:p>
          <w:p w14:paraId="224C3078" w14:textId="77777777" w:rsidR="00FC37F5" w:rsidRPr="00FC37F5" w:rsidRDefault="00FC37F5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Ponudjač je duža</w:t>
            </w:r>
            <w:r w:rsidR="00DB581C">
              <w:rPr>
                <w:szCs w:val="24"/>
                <w:lang w:val="sr-Latn-CS"/>
              </w:rPr>
              <w:t xml:space="preserve">n da dokaže da je </w:t>
            </w:r>
            <w:r w:rsidR="003B50CA">
              <w:rPr>
                <w:szCs w:val="24"/>
                <w:lang w:val="sr-Latn-CS"/>
              </w:rPr>
              <w:t xml:space="preserve">u periodu od </w:t>
            </w:r>
            <w:r w:rsidR="003B50CA" w:rsidRPr="000850B2">
              <w:rPr>
                <w:szCs w:val="24"/>
                <w:lang w:val="sr-Latn-CS"/>
              </w:rPr>
              <w:t>01.01.201</w:t>
            </w:r>
            <w:r w:rsidR="00FB0D5D" w:rsidRPr="000850B2">
              <w:rPr>
                <w:szCs w:val="24"/>
                <w:lang w:val="sr-Latn-CS"/>
              </w:rPr>
              <w:t>5</w:t>
            </w:r>
            <w:r w:rsidR="00FD4A10" w:rsidRPr="000850B2">
              <w:rPr>
                <w:szCs w:val="24"/>
                <w:lang w:val="sr-Latn-CS"/>
              </w:rPr>
              <w:t>. godine</w:t>
            </w:r>
            <w:r w:rsidR="00FD4A10">
              <w:rPr>
                <w:szCs w:val="24"/>
                <w:lang w:val="sr-Latn-CS"/>
              </w:rPr>
              <w:t xml:space="preserve"> do dana objavljivanja javnog poziva,</w:t>
            </w:r>
            <w:r>
              <w:rPr>
                <w:szCs w:val="24"/>
                <w:lang w:val="sr-Latn-CS"/>
              </w:rPr>
              <w:t xml:space="preserve"> ispunio uslove u pogledu:</w:t>
            </w:r>
          </w:p>
          <w:p w14:paraId="5FEC1FF8" w14:textId="20A0E63B" w:rsidR="00877871" w:rsidRPr="000850B2" w:rsidRDefault="00496D03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0850B2">
              <w:rPr>
                <w:szCs w:val="24"/>
              </w:rPr>
              <w:t xml:space="preserve">a) </w:t>
            </w:r>
            <w:r w:rsidRPr="000850B2">
              <w:rPr>
                <w:b/>
                <w:szCs w:val="24"/>
              </w:rPr>
              <w:t>Projektovanje:</w:t>
            </w:r>
            <w:r w:rsidRPr="000850B2">
              <w:rPr>
                <w:szCs w:val="24"/>
              </w:rPr>
              <w:t xml:space="preserve"> Iskustvo</w:t>
            </w:r>
            <w:r w:rsidR="00AA20C1">
              <w:rPr>
                <w:szCs w:val="24"/>
                <w:lang w:val="sr-Latn-CS"/>
              </w:rPr>
              <w:t xml:space="preserve">, samostalno ili kao vodeći projektant, </w:t>
            </w:r>
            <w:r w:rsidRPr="000850B2">
              <w:rPr>
                <w:szCs w:val="24"/>
              </w:rPr>
              <w:t xml:space="preserve"> u projektovanju </w:t>
            </w:r>
            <w:r w:rsidRPr="000850B2">
              <w:rPr>
                <w:szCs w:val="24"/>
              </w:rPr>
              <w:lastRenderedPageBreak/>
              <w:t xml:space="preserve">najmanje </w:t>
            </w:r>
            <w:r w:rsidR="0059211E">
              <w:rPr>
                <w:szCs w:val="24"/>
                <w:lang w:val="sr-Latn-CS"/>
              </w:rPr>
              <w:t>4</w:t>
            </w:r>
            <w:r w:rsidR="00F22D15">
              <w:rPr>
                <w:szCs w:val="24"/>
                <w:lang w:val="sr-Latn-CS"/>
              </w:rPr>
              <w:t>5</w:t>
            </w:r>
            <w:r w:rsidRPr="000850B2">
              <w:rPr>
                <w:szCs w:val="24"/>
              </w:rPr>
              <w:t xml:space="preserve"> montažnih kuća.</w:t>
            </w:r>
          </w:p>
          <w:p w14:paraId="009345AA" w14:textId="77777777" w:rsidR="009B677C" w:rsidRPr="00486582" w:rsidRDefault="009B677C" w:rsidP="009B67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4979A963" w14:textId="77777777" w:rsidR="00EE1B60" w:rsidRPr="003D2D02" w:rsidRDefault="00DA69F6" w:rsidP="008778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DA6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Dokaz: </w:t>
            </w:r>
            <w:r w:rsidR="0095364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Obrazac 4.5.3.3 sa pratećom dokumentacijom</w:t>
            </w:r>
          </w:p>
          <w:p w14:paraId="5B640E52" w14:textId="57AD2905" w:rsidR="000B4C17" w:rsidRPr="00F22D15" w:rsidRDefault="00877871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</w:rPr>
              <w:t xml:space="preserve">b) </w:t>
            </w:r>
            <w:r w:rsidRPr="00F22D15">
              <w:rPr>
                <w:b/>
                <w:szCs w:val="24"/>
              </w:rPr>
              <w:t>Radovi:</w:t>
            </w:r>
            <w:r w:rsidRPr="00F22D15">
              <w:rPr>
                <w:szCs w:val="24"/>
              </w:rPr>
              <w:t xml:space="preserve"> Iskustvo,</w:t>
            </w:r>
            <w:r w:rsidR="00DB581C" w:rsidRPr="00F22D15">
              <w:rPr>
                <w:szCs w:val="24"/>
              </w:rPr>
              <w:t xml:space="preserve"> </w:t>
            </w:r>
            <w:r w:rsidR="00AA20C1" w:rsidRPr="00AA20C1">
              <w:rPr>
                <w:szCs w:val="24"/>
                <w:lang w:val="ru-RU"/>
              </w:rPr>
              <w:t>samostalno ili kao vodeći izvođač,</w:t>
            </w:r>
            <w:r w:rsidR="00584B8E" w:rsidRPr="00F22D15">
              <w:rPr>
                <w:szCs w:val="24"/>
                <w:lang w:val="ru-RU"/>
              </w:rPr>
              <w:t>, u izgradnji</w:t>
            </w:r>
            <w:r w:rsidR="007A6798" w:rsidRPr="00F22D15">
              <w:rPr>
                <w:szCs w:val="24"/>
                <w:lang w:val="sr-Latn-CS"/>
              </w:rPr>
              <w:t xml:space="preserve"> najmanje </w:t>
            </w:r>
            <w:r w:rsidR="0059211E">
              <w:rPr>
                <w:szCs w:val="24"/>
                <w:lang w:val="sr-Latn-CS"/>
              </w:rPr>
              <w:t>80</w:t>
            </w:r>
            <w:r w:rsidR="00584B8E" w:rsidRPr="00F22D15">
              <w:rPr>
                <w:szCs w:val="24"/>
                <w:lang w:val="sr-Latn-CS"/>
              </w:rPr>
              <w:t xml:space="preserve"> montažnih kuća, minimalne kvadrature od 30 m</w:t>
            </w:r>
            <w:r w:rsidR="00584B8E" w:rsidRPr="00F22D15">
              <w:rPr>
                <w:szCs w:val="24"/>
                <w:vertAlign w:val="superscript"/>
                <w:lang w:val="sr-Latn-CS"/>
              </w:rPr>
              <w:t xml:space="preserve">2 </w:t>
            </w:r>
            <w:r w:rsidR="00584B8E" w:rsidRPr="00F22D15">
              <w:rPr>
                <w:szCs w:val="24"/>
                <w:lang w:val="sr-Latn-CS"/>
              </w:rPr>
              <w:t xml:space="preserve"> po montažnoj kući.</w:t>
            </w:r>
          </w:p>
          <w:p w14:paraId="28864FBC" w14:textId="77777777" w:rsidR="000C2EE0" w:rsidRDefault="000C2EE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Vodeći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Zajedničk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/Konzorcijuma mora da zadovolјi minimum 50% (pedeset p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ovog uslova. </w:t>
            </w:r>
          </w:p>
          <w:p w14:paraId="43ADA102" w14:textId="77777777" w:rsidR="00DA69F6" w:rsidRPr="00486582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Dokaz: </w:t>
            </w:r>
            <w:r w:rsidR="0095364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Dokaz: Obrazac 4.5.3 </w:t>
            </w:r>
            <w:r w:rsidR="00953648" w:rsidRPr="0095364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sa pratećom dokumentacijom</w:t>
            </w:r>
          </w:p>
          <w:p w14:paraId="56758F8F" w14:textId="4F8AA0FE" w:rsidR="00026C60" w:rsidRDefault="00717859" w:rsidP="003D2D02">
            <w:pPr>
              <w:pStyle w:val="BodyText"/>
              <w:numPr>
                <w:ilvl w:val="0"/>
                <w:numId w:val="15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  <w:lang w:val="en-US"/>
              </w:rPr>
            </w:pPr>
            <w:r w:rsidRPr="00F22D15">
              <w:rPr>
                <w:b/>
                <w:szCs w:val="24"/>
                <w:lang w:val="en-US"/>
              </w:rPr>
              <w:t>Standard</w:t>
            </w:r>
            <w:r w:rsidR="00026C60">
              <w:rPr>
                <w:b/>
                <w:szCs w:val="24"/>
                <w:lang w:val="en-US"/>
              </w:rPr>
              <w:t xml:space="preserve">i i sertifikati: </w:t>
            </w:r>
          </w:p>
          <w:p w14:paraId="77115011" w14:textId="77777777" w:rsidR="00877871" w:rsidRPr="00F22D15" w:rsidRDefault="00717859" w:rsidP="00EF06F4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  <w:lang w:val="en-US"/>
              </w:rPr>
              <w:t xml:space="preserve"> </w:t>
            </w:r>
            <w:r w:rsidR="00877871" w:rsidRPr="00F22D15">
              <w:rPr>
                <w:szCs w:val="24"/>
              </w:rPr>
              <w:t>IS</w:t>
            </w:r>
            <w:r w:rsidR="00F22D15" w:rsidRPr="00F22D15">
              <w:rPr>
                <w:szCs w:val="24"/>
                <w:lang w:val="en-US"/>
              </w:rPr>
              <w:t xml:space="preserve">O 9001:2015 </w:t>
            </w:r>
            <w:r w:rsidRPr="00F22D15">
              <w:rPr>
                <w:szCs w:val="24"/>
              </w:rPr>
              <w:t xml:space="preserve">Obim: </w:t>
            </w:r>
            <w:r w:rsidRPr="00F22D15">
              <w:rPr>
                <w:szCs w:val="24"/>
                <w:lang w:val="sr-Latn-RS"/>
              </w:rPr>
              <w:t>P</w:t>
            </w:r>
            <w:r w:rsidR="00E53E75" w:rsidRPr="00F22D15">
              <w:rPr>
                <w:szCs w:val="24"/>
              </w:rPr>
              <w:t>rojektovanje</w:t>
            </w:r>
          </w:p>
          <w:p w14:paraId="6E398453" w14:textId="77777777" w:rsidR="00877871" w:rsidRPr="00F22D15" w:rsidRDefault="00860DDD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</w:rPr>
              <w:t>ISO 9001:2015</w:t>
            </w:r>
            <w:r w:rsidR="003A37AF" w:rsidRPr="00F22D15">
              <w:rPr>
                <w:szCs w:val="24"/>
                <w:lang w:val="sr-Latn-CS"/>
              </w:rPr>
              <w:t xml:space="preserve"> </w:t>
            </w:r>
            <w:r w:rsidR="00877871" w:rsidRPr="00F22D15">
              <w:rPr>
                <w:szCs w:val="24"/>
              </w:rPr>
              <w:t xml:space="preserve"> </w:t>
            </w:r>
            <w:r w:rsidR="00717859" w:rsidRPr="00F22D15">
              <w:rPr>
                <w:szCs w:val="24"/>
              </w:rPr>
              <w:t xml:space="preserve">Obim: </w:t>
            </w:r>
            <w:r w:rsidR="00717859" w:rsidRPr="00F22D15">
              <w:rPr>
                <w:szCs w:val="24"/>
                <w:lang w:val="sr-Latn-RS"/>
              </w:rPr>
              <w:t>P</w:t>
            </w:r>
            <w:r w:rsidR="00E53E75" w:rsidRPr="00F22D15">
              <w:rPr>
                <w:szCs w:val="24"/>
              </w:rPr>
              <w:t>roizvodnja i montaža prefabrikovanih kuća</w:t>
            </w:r>
          </w:p>
          <w:p w14:paraId="2F965093" w14:textId="77777777" w:rsidR="000C2EE0" w:rsidRPr="003D2D02" w:rsidRDefault="00877871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  <w:lang w:val="en-US"/>
              </w:rPr>
            </w:pPr>
            <w:r w:rsidRPr="00F22D15">
              <w:rPr>
                <w:szCs w:val="24"/>
              </w:rPr>
              <w:t>IS</w:t>
            </w:r>
            <w:r w:rsidRPr="00F22D15">
              <w:rPr>
                <w:szCs w:val="24"/>
                <w:lang w:val="en-US"/>
              </w:rPr>
              <w:t xml:space="preserve">O </w:t>
            </w:r>
            <w:r w:rsidRPr="00F22D15">
              <w:rPr>
                <w:szCs w:val="24"/>
              </w:rPr>
              <w:t>14</w:t>
            </w:r>
            <w:r w:rsidR="00860DDD" w:rsidRPr="00F22D15">
              <w:rPr>
                <w:szCs w:val="24"/>
                <w:lang w:val="en-US"/>
              </w:rPr>
              <w:t>001:2015</w:t>
            </w:r>
          </w:p>
          <w:p w14:paraId="349DEAF3" w14:textId="77777777" w:rsidR="000C2EE0" w:rsidRDefault="000C2EE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0C2EE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U slučaju Zajedničke ponude/Konzorcijuma, tehnički kapacitet u pogledu standarda i sertifikata je potrebno da dokaže vodeći član Zajedničke ponude/Konzorcijuma.</w:t>
            </w:r>
          </w:p>
          <w:p w14:paraId="294B340F" w14:textId="77777777" w:rsidR="00DA69F6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4518FDBD" w14:textId="77777777" w:rsidR="006C5E90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Dokaz: Kopije traženih sertifikata</w:t>
            </w:r>
          </w:p>
          <w:p w14:paraId="6ACB10C7" w14:textId="77777777" w:rsidR="00DA69F6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0B4F8953" w14:textId="77777777" w:rsidR="006C5E90" w:rsidRPr="003D2D02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d)  </w:t>
            </w:r>
            <w:r w:rsidRPr="003D2D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Mehanizacija i oprema za potrebe realizacije projekta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:</w:t>
            </w:r>
          </w:p>
          <w:p w14:paraId="0553DF57" w14:textId="77777777" w:rsid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Ponuđač treba da poseduje ili da obezbedi pristup mehanizaciji i opremi koja u potpunosti mora da bude spremna za otpočinjanje izvođenja radova, a koju planira da koristi prilikom izvođenja radova. </w:t>
            </w:r>
          </w:p>
          <w:p w14:paraId="7DABCA31" w14:textId="77777777" w:rsidR="006C5E90" w:rsidRP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4278C5D8" w14:textId="77777777" w:rsid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U slučaju Zajedničke ponude/Konzorcijuma, tehnički kapacitet u pogledu mehanizacije i opreme za potrebe realizacije projekta članovi Zajedničke ponude/Konzorcijuma ispunjavaju zajedno.</w:t>
            </w:r>
          </w:p>
          <w:p w14:paraId="2E4AB5AE" w14:textId="77777777" w:rsidR="006C5E90" w:rsidRP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03288F42" w14:textId="77777777" w:rsidR="006C5E90" w:rsidRPr="000C2EE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Dokaz: Ponuđač je dužan da dostavi Izjavu o posedovanju/iznajmljivanju mehanizacije i opreme (deo Obrasca 4.6.2).Ponuđač je u obavezi da obezbedi svu mehanizaciju i opremu, potrebnu za građenje objekta.</w:t>
            </w:r>
          </w:p>
          <w:p w14:paraId="460C8F8C" w14:textId="46D7B11D" w:rsidR="00877871" w:rsidRPr="00877871" w:rsidRDefault="00877871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</w:p>
        </w:tc>
      </w:tr>
      <w:tr w:rsidR="002D6E25" w:rsidRPr="00C13DF4" w14:paraId="45F03500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1D84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55F3" w14:textId="77777777" w:rsidR="002D6E25" w:rsidRPr="00034558" w:rsidRDefault="00034558" w:rsidP="0003455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5B90589E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26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681F" w14:textId="77777777" w:rsidR="002D6E25" w:rsidRPr="00F22D15" w:rsidRDefault="00F5074E" w:rsidP="00352606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Najniža</w:t>
            </w:r>
            <w:r w:rsidR="00B30A48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ponuđena</w:t>
            </w:r>
            <w:r w:rsidR="00B30A48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cena</w:t>
            </w:r>
            <w:r w:rsidR="00352606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A103A0F" w14:textId="77777777" w:rsidR="0081592B" w:rsidRPr="00FB0D5D" w:rsidRDefault="0081592B" w:rsidP="00DC6722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Postupak izbora u slučaju jednakih ponuda: u slučaju dve iste ponude, odnosno dve jednake cene, prednost se daje ponudi koja ima duži rok važenja ponude.</w:t>
            </w:r>
            <w:r w:rsidRPr="00FB0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6E25" w:rsidRPr="00C13DF4" w14:paraId="33276EB8" w14:textId="77777777" w:rsidTr="00D9486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995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BD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E8181A6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665C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7EE9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7FEC" w14:textId="77777777" w:rsidR="00EF06F4" w:rsidRPr="00EF06F4" w:rsidRDefault="00EF06F4" w:rsidP="00EF06F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EF06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Ponuđači mogu uputiti zahtev za dostavlјanje Konkursne dokumentacije putem elektronske pošte na </w:t>
            </w:r>
            <w:hyperlink r:id="rId11" w:history="1">
              <w:r w:rsidR="00444E49" w:rsidRPr="00B1620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aleksandar.grubac</w:t>
              </w:r>
              <w:r w:rsidR="00444E49" w:rsidRPr="00B1620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Pr="00EF06F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. </w:t>
            </w:r>
          </w:p>
          <w:p w14:paraId="3D2B3AF4" w14:textId="77777777" w:rsidR="00380CD7" w:rsidRPr="00C13DF4" w:rsidRDefault="00EF06F4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F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Po prijemu zahteva, Naručilac će dostaviti putem elektronske pošte Konkursnu dokumentaciju na adresu navedenu u zahtevu za dostavljanje Konkursne dokumentacije.</w:t>
            </w:r>
          </w:p>
        </w:tc>
      </w:tr>
      <w:tr w:rsidR="002D6E25" w:rsidRPr="00C13DF4" w14:paraId="78E75FFD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37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A2E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49" w:rsidRPr="00C13DF4" w14:paraId="2CD0A680" w14:textId="77777777" w:rsidTr="00D9486D">
        <w:trPr>
          <w:gridAfter w:val="2"/>
          <w:wAfter w:w="4617" w:type="pct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7894" w14:textId="77777777" w:rsidR="00444E49" w:rsidRPr="00444E49" w:rsidRDefault="00444E49" w:rsidP="00444E49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49" w:rsidRPr="00C13DF4" w14:paraId="486A5A84" w14:textId="77777777" w:rsidTr="00D9486D">
        <w:trPr>
          <w:gridAfter w:val="2"/>
          <w:wAfter w:w="4617" w:type="pct"/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4315" w14:textId="77777777" w:rsidR="00444E49" w:rsidRPr="00C13DF4" w:rsidRDefault="00444E49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CF96E4" w14:textId="77777777" w:rsidTr="00D9486D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444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5F3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BA2503B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9C98" w14:textId="77777777" w:rsidR="002D6E25" w:rsidRPr="00C13DF4" w:rsidRDefault="002D6E25" w:rsidP="003D2D02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3F20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622D" w14:textId="77777777" w:rsidR="008F62E9" w:rsidRPr="00C13DF4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ED30FD" w14:textId="77777777" w:rsidR="00790B38" w:rsidRPr="00392929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''Jedinica za upravljanje projektima u javnom sektoru'' d.o.o. Beograd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</w:t>
            </w:r>
            <w:r w:rsidR="00E22072" w:rsidRPr="003929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7D462E" w14:textId="25252957" w:rsidR="00790B38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''Jedinica za upravljanje projektima u javnom sektoru'' d.o.o. Beograd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8108E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peti</w:t>
            </w:r>
            <w:r w:rsidR="008108EB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07969">
              <w:rPr>
                <w:rFonts w:ascii="Times New Roman" w:hAnsi="Times New Roman" w:cs="Times New Roman"/>
                <w:sz w:val="24"/>
                <w:szCs w:val="24"/>
              </w:rPr>
              <w:t xml:space="preserve"> 15:3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A3E9C" w14:textId="77777777" w:rsidR="008D0286" w:rsidRPr="008D0286" w:rsidRDefault="008D0286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AFBA" w14:textId="1A4780CC" w:rsidR="002D6E25" w:rsidRPr="00C13DF4" w:rsidRDefault="00F5074E" w:rsidP="00A4014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A7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8C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D9486D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796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08.06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20</w:t>
            </w:r>
            <w:r w:rsidR="00D9486D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90B38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r w:rsidR="00790B38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90B38" w:rsidRPr="00B01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="009F5B06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="00790B38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  <w:r w:rsidR="00F81EE1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čas</w:t>
            </w:r>
            <w:bookmarkStart w:id="0" w:name="_GoBack"/>
            <w:bookmarkEnd w:id="0"/>
            <w:r w:rsidR="00F81EE1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ova</w:t>
            </w:r>
            <w:r w:rsidR="00F81EE1" w:rsidRPr="008C7D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D6E25" w:rsidRPr="00C13DF4" w14:paraId="67568FC5" w14:textId="77777777" w:rsidTr="00D9486D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C36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87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6EA1C9B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77B7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B10E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0615" w14:textId="70B879C7" w:rsidR="002D6E25" w:rsidRPr="00C13DF4" w:rsidRDefault="00F5074E" w:rsidP="00FB0D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83" w:rsidRPr="00D0796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B01C8C" w:rsidRPr="00D0796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07969" w:rsidRPr="00D0796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08.06</w:t>
            </w:r>
            <w:r w:rsidR="008C7DA7" w:rsidRPr="00D07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8C7DA7" w:rsidRPr="00D0796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20</w:t>
            </w:r>
            <w:r w:rsidR="008C7DA7" w:rsidRPr="00D07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godine</w:t>
            </w:r>
            <w:r w:rsidR="008C7DA7" w:rsidRPr="00B01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81EE1" w:rsidRPr="00B01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1EE1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</w:t>
            </w:r>
            <w:r w:rsidR="00880BF9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0BF9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="008F62E9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D065E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časova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''Jedinice za upravljanje projektima u javnom sektoru'' d.o.o. Beograd</w:t>
            </w:r>
            <w:r w:rsidR="00B8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E2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B24B43" w:rsidRPr="0039292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501E4131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635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C6C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5EED95" w14:textId="77777777" w:rsidTr="00D9486D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D589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AF5A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67EBE39" w14:textId="77777777" w:rsidTr="00D9486D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377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6489" w14:textId="77777777" w:rsidR="002D6E25" w:rsidRPr="00C13DF4" w:rsidRDefault="00DB581C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7F64AEF6" w14:textId="77777777" w:rsidTr="00D9486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847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E1C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F7B923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167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B4D2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95FD" w14:textId="77777777" w:rsidR="002D6E25" w:rsidRPr="00F22D15" w:rsidRDefault="00537262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90 dana nakon isteka roka za podnošenje ponuda</w:t>
            </w:r>
          </w:p>
        </w:tc>
      </w:tr>
      <w:tr w:rsidR="002D6E25" w:rsidRPr="00C13DF4" w14:paraId="227C5D58" w14:textId="77777777" w:rsidTr="00D9486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76B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2B4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378829BD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AEB2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9F36" w14:textId="77777777" w:rsidR="00083F35" w:rsidRPr="005000A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500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851B" w14:textId="77777777" w:rsidR="00177333" w:rsidRDefault="00177333" w:rsidP="009B341F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 xml:space="preserve">''Jedinica za upravljanje projektima u javnom sektoru'' d.o.o. Beograd </w:t>
            </w:r>
          </w:p>
          <w:p w14:paraId="1A3A0FEA" w14:textId="77777777" w:rsidR="009B341F" w:rsidRPr="005000A6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5000A6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5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5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408132D7" w14:textId="77777777" w:rsidR="00717859" w:rsidRPr="00717859" w:rsidRDefault="00420288" w:rsidP="00EB693E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aleksandar</w:t>
              </w:r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gruba</w:t>
              </w:r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E77E64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</w:p>
        </w:tc>
      </w:tr>
      <w:tr w:rsidR="002D6E25" w:rsidRPr="00C13DF4" w14:paraId="79B15633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040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C47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77B7D7D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EE5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7DB6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698F6426" w14:textId="77777777" w:rsidTr="00D9486D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2476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AD0A" w14:textId="77777777" w:rsidR="009B341F" w:rsidRPr="00C13DF4" w:rsidRDefault="00F5074E" w:rsidP="00BC46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EC413C" w14:textId="77777777" w:rsidR="009B341F" w:rsidRPr="00C13DF4" w:rsidRDefault="00537889" w:rsidP="00BC46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14:paraId="3D01FF57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A88F" w14:textId="77777777" w:rsidR="00420288" w:rsidRDefault="00420288" w:rsidP="00083F35">
      <w:pPr>
        <w:spacing w:after="0" w:line="240" w:lineRule="auto"/>
      </w:pPr>
      <w:r>
        <w:separator/>
      </w:r>
    </w:p>
  </w:endnote>
  <w:endnote w:type="continuationSeparator" w:id="0">
    <w:p w14:paraId="1E776FFD" w14:textId="77777777" w:rsidR="00420288" w:rsidRDefault="00420288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BC4678" w:rsidRPr="00F5074E" w14:paraId="59D66EAE" w14:textId="77777777" w:rsidTr="00BC4678">
      <w:tc>
        <w:tcPr>
          <w:tcW w:w="4773" w:type="dxa"/>
          <w:shd w:val="clear" w:color="auto" w:fill="auto"/>
        </w:tcPr>
        <w:p w14:paraId="5E5C8B97" w14:textId="77777777" w:rsidR="00BC4678" w:rsidRPr="00F5074E" w:rsidRDefault="00BC4678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2020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1F63FC65" w14:textId="77777777" w:rsidR="00BC4678" w:rsidRPr="00F5074E" w:rsidRDefault="00BC4678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Strana 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D07969">
            <w:rPr>
              <w:rFonts w:ascii="Roboto" w:hAnsi="Roboto"/>
              <w:noProof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260E7B3" w14:textId="77777777" w:rsidR="00BC4678" w:rsidRPr="00F5074E" w:rsidRDefault="00BC4678" w:rsidP="00083F35">
    <w:pPr>
      <w:pStyle w:val="Footer"/>
      <w:rPr>
        <w:lang w:val="sr-Latn-CS"/>
      </w:rPr>
    </w:pPr>
  </w:p>
  <w:p w14:paraId="2AA57361" w14:textId="77777777" w:rsidR="00BC4678" w:rsidRDefault="00BC4678" w:rsidP="00083F35">
    <w:pPr>
      <w:pStyle w:val="Footer"/>
    </w:pPr>
  </w:p>
  <w:p w14:paraId="2848104E" w14:textId="77777777" w:rsidR="00BC4678" w:rsidRDefault="00BC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CFC0F" w14:textId="77777777" w:rsidR="00420288" w:rsidRDefault="00420288" w:rsidP="00083F35">
      <w:pPr>
        <w:spacing w:after="0" w:line="240" w:lineRule="auto"/>
      </w:pPr>
      <w:r>
        <w:separator/>
      </w:r>
    </w:p>
  </w:footnote>
  <w:footnote w:type="continuationSeparator" w:id="0">
    <w:p w14:paraId="5E3E2CAD" w14:textId="77777777" w:rsidR="00420288" w:rsidRDefault="00420288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7DC"/>
    <w:multiLevelType w:val="hybridMultilevel"/>
    <w:tmpl w:val="5672D1DA"/>
    <w:lvl w:ilvl="0" w:tplc="95A67544">
      <w:start w:val="3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500B2E"/>
    <w:multiLevelType w:val="multilevel"/>
    <w:tmpl w:val="040B001F"/>
    <w:numStyleLink w:val="Style1"/>
  </w:abstractNum>
  <w:abstractNum w:abstractNumId="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688D"/>
    <w:multiLevelType w:val="multilevel"/>
    <w:tmpl w:val="C36239BE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0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03784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E82949"/>
    <w:multiLevelType w:val="hybridMultilevel"/>
    <w:tmpl w:val="9FDC5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6B22"/>
    <w:rsid w:val="0002004E"/>
    <w:rsid w:val="00021B6A"/>
    <w:rsid w:val="00023254"/>
    <w:rsid w:val="00023FA5"/>
    <w:rsid w:val="00026549"/>
    <w:rsid w:val="00026C60"/>
    <w:rsid w:val="00033918"/>
    <w:rsid w:val="00034558"/>
    <w:rsid w:val="0003639E"/>
    <w:rsid w:val="000430BD"/>
    <w:rsid w:val="000532DB"/>
    <w:rsid w:val="00055AE9"/>
    <w:rsid w:val="00055D3F"/>
    <w:rsid w:val="000569A1"/>
    <w:rsid w:val="00062B81"/>
    <w:rsid w:val="0006550E"/>
    <w:rsid w:val="00065818"/>
    <w:rsid w:val="00065825"/>
    <w:rsid w:val="000677D9"/>
    <w:rsid w:val="00076DA1"/>
    <w:rsid w:val="00081FA7"/>
    <w:rsid w:val="00082024"/>
    <w:rsid w:val="00083F35"/>
    <w:rsid w:val="000850B2"/>
    <w:rsid w:val="0009352E"/>
    <w:rsid w:val="00093924"/>
    <w:rsid w:val="000952E6"/>
    <w:rsid w:val="00096853"/>
    <w:rsid w:val="000A1FA5"/>
    <w:rsid w:val="000A2CD6"/>
    <w:rsid w:val="000A4162"/>
    <w:rsid w:val="000A4277"/>
    <w:rsid w:val="000B381A"/>
    <w:rsid w:val="000B3DF3"/>
    <w:rsid w:val="000B4C17"/>
    <w:rsid w:val="000B50C2"/>
    <w:rsid w:val="000C24E9"/>
    <w:rsid w:val="000C2EE0"/>
    <w:rsid w:val="000D07CF"/>
    <w:rsid w:val="000D1196"/>
    <w:rsid w:val="000D20F0"/>
    <w:rsid w:val="000D5D6F"/>
    <w:rsid w:val="000D6EF0"/>
    <w:rsid w:val="000E259C"/>
    <w:rsid w:val="000F1B1B"/>
    <w:rsid w:val="000F2A3F"/>
    <w:rsid w:val="000F36B2"/>
    <w:rsid w:val="000F56C1"/>
    <w:rsid w:val="001000CE"/>
    <w:rsid w:val="0012293E"/>
    <w:rsid w:val="0012515E"/>
    <w:rsid w:val="001261A9"/>
    <w:rsid w:val="001311AB"/>
    <w:rsid w:val="0013478F"/>
    <w:rsid w:val="00134E79"/>
    <w:rsid w:val="00147F26"/>
    <w:rsid w:val="001537F3"/>
    <w:rsid w:val="00155176"/>
    <w:rsid w:val="001572BB"/>
    <w:rsid w:val="0016166F"/>
    <w:rsid w:val="00163E0E"/>
    <w:rsid w:val="00177333"/>
    <w:rsid w:val="001859F5"/>
    <w:rsid w:val="00194598"/>
    <w:rsid w:val="00195D05"/>
    <w:rsid w:val="001A4007"/>
    <w:rsid w:val="001B206E"/>
    <w:rsid w:val="001B3EC5"/>
    <w:rsid w:val="001C1A2D"/>
    <w:rsid w:val="001C2056"/>
    <w:rsid w:val="001E34E0"/>
    <w:rsid w:val="001E37E8"/>
    <w:rsid w:val="001E6119"/>
    <w:rsid w:val="001F550B"/>
    <w:rsid w:val="001F6F94"/>
    <w:rsid w:val="00206658"/>
    <w:rsid w:val="002140D1"/>
    <w:rsid w:val="00215659"/>
    <w:rsid w:val="002207C4"/>
    <w:rsid w:val="00220AE2"/>
    <w:rsid w:val="00220D68"/>
    <w:rsid w:val="002211A6"/>
    <w:rsid w:val="00221593"/>
    <w:rsid w:val="00230DE3"/>
    <w:rsid w:val="002324D3"/>
    <w:rsid w:val="00235149"/>
    <w:rsid w:val="002361B0"/>
    <w:rsid w:val="00242AF5"/>
    <w:rsid w:val="0024580B"/>
    <w:rsid w:val="00246CA2"/>
    <w:rsid w:val="00250454"/>
    <w:rsid w:val="00250746"/>
    <w:rsid w:val="00250F83"/>
    <w:rsid w:val="002519CE"/>
    <w:rsid w:val="002520DD"/>
    <w:rsid w:val="00253AD2"/>
    <w:rsid w:val="00255F22"/>
    <w:rsid w:val="00274922"/>
    <w:rsid w:val="0027644A"/>
    <w:rsid w:val="00281E01"/>
    <w:rsid w:val="002837AB"/>
    <w:rsid w:val="00284980"/>
    <w:rsid w:val="002903BB"/>
    <w:rsid w:val="0029349E"/>
    <w:rsid w:val="002962F1"/>
    <w:rsid w:val="00297A91"/>
    <w:rsid w:val="002A191C"/>
    <w:rsid w:val="002A271B"/>
    <w:rsid w:val="002A52A2"/>
    <w:rsid w:val="002B02C8"/>
    <w:rsid w:val="002B51CF"/>
    <w:rsid w:val="002B65C9"/>
    <w:rsid w:val="002B699C"/>
    <w:rsid w:val="002C1C1D"/>
    <w:rsid w:val="002C5C6D"/>
    <w:rsid w:val="002D6AD7"/>
    <w:rsid w:val="002D6E25"/>
    <w:rsid w:val="002F55CB"/>
    <w:rsid w:val="002F6ADE"/>
    <w:rsid w:val="00300B94"/>
    <w:rsid w:val="00305830"/>
    <w:rsid w:val="0030662F"/>
    <w:rsid w:val="00306A8F"/>
    <w:rsid w:val="00310452"/>
    <w:rsid w:val="0031288D"/>
    <w:rsid w:val="003202C7"/>
    <w:rsid w:val="003429EB"/>
    <w:rsid w:val="00345CC7"/>
    <w:rsid w:val="00346AF0"/>
    <w:rsid w:val="003473FD"/>
    <w:rsid w:val="00352606"/>
    <w:rsid w:val="00355A86"/>
    <w:rsid w:val="003604B6"/>
    <w:rsid w:val="00362F64"/>
    <w:rsid w:val="003779ED"/>
    <w:rsid w:val="00380CD7"/>
    <w:rsid w:val="00383E22"/>
    <w:rsid w:val="00385AAE"/>
    <w:rsid w:val="00392929"/>
    <w:rsid w:val="00394072"/>
    <w:rsid w:val="00394F6F"/>
    <w:rsid w:val="003A0CF2"/>
    <w:rsid w:val="003A37AF"/>
    <w:rsid w:val="003B50CA"/>
    <w:rsid w:val="003C3679"/>
    <w:rsid w:val="003C79F1"/>
    <w:rsid w:val="003D2D02"/>
    <w:rsid w:val="003D7EE1"/>
    <w:rsid w:val="003E56C8"/>
    <w:rsid w:val="003F0D07"/>
    <w:rsid w:val="00400652"/>
    <w:rsid w:val="0040561F"/>
    <w:rsid w:val="00412946"/>
    <w:rsid w:val="00412F3F"/>
    <w:rsid w:val="0041755B"/>
    <w:rsid w:val="00420288"/>
    <w:rsid w:val="00421C6D"/>
    <w:rsid w:val="004234A0"/>
    <w:rsid w:val="00433C2C"/>
    <w:rsid w:val="00436BFB"/>
    <w:rsid w:val="004408A2"/>
    <w:rsid w:val="004418A0"/>
    <w:rsid w:val="00442AFA"/>
    <w:rsid w:val="00444E49"/>
    <w:rsid w:val="0044518B"/>
    <w:rsid w:val="004502B4"/>
    <w:rsid w:val="004511C2"/>
    <w:rsid w:val="00460C34"/>
    <w:rsid w:val="00463902"/>
    <w:rsid w:val="00481B56"/>
    <w:rsid w:val="00486582"/>
    <w:rsid w:val="0049529A"/>
    <w:rsid w:val="00496D03"/>
    <w:rsid w:val="004A080A"/>
    <w:rsid w:val="004A083A"/>
    <w:rsid w:val="004A689C"/>
    <w:rsid w:val="004B6369"/>
    <w:rsid w:val="004E413E"/>
    <w:rsid w:val="004E4DE2"/>
    <w:rsid w:val="004E5941"/>
    <w:rsid w:val="004F61B0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4A2"/>
    <w:rsid w:val="00526B09"/>
    <w:rsid w:val="005279C3"/>
    <w:rsid w:val="00530E66"/>
    <w:rsid w:val="00537262"/>
    <w:rsid w:val="00537889"/>
    <w:rsid w:val="005422B5"/>
    <w:rsid w:val="00542712"/>
    <w:rsid w:val="005451F0"/>
    <w:rsid w:val="00547C18"/>
    <w:rsid w:val="00550326"/>
    <w:rsid w:val="0055433D"/>
    <w:rsid w:val="00554CA8"/>
    <w:rsid w:val="00563FCE"/>
    <w:rsid w:val="0056767C"/>
    <w:rsid w:val="005758C2"/>
    <w:rsid w:val="00584B8E"/>
    <w:rsid w:val="005873EB"/>
    <w:rsid w:val="0059141C"/>
    <w:rsid w:val="0059211E"/>
    <w:rsid w:val="0059284E"/>
    <w:rsid w:val="005A5123"/>
    <w:rsid w:val="005B785D"/>
    <w:rsid w:val="005C02FF"/>
    <w:rsid w:val="005E7860"/>
    <w:rsid w:val="0060136A"/>
    <w:rsid w:val="006023AF"/>
    <w:rsid w:val="00621E23"/>
    <w:rsid w:val="00623D43"/>
    <w:rsid w:val="00624174"/>
    <w:rsid w:val="0062567A"/>
    <w:rsid w:val="00627C47"/>
    <w:rsid w:val="00636F9D"/>
    <w:rsid w:val="0064172D"/>
    <w:rsid w:val="006423D4"/>
    <w:rsid w:val="006467E1"/>
    <w:rsid w:val="00661550"/>
    <w:rsid w:val="006655D3"/>
    <w:rsid w:val="00674932"/>
    <w:rsid w:val="00675736"/>
    <w:rsid w:val="00681F84"/>
    <w:rsid w:val="00682EF0"/>
    <w:rsid w:val="00687AC1"/>
    <w:rsid w:val="00687B7F"/>
    <w:rsid w:val="006911E6"/>
    <w:rsid w:val="006B0297"/>
    <w:rsid w:val="006C15A8"/>
    <w:rsid w:val="006C2566"/>
    <w:rsid w:val="006C5AC6"/>
    <w:rsid w:val="006C5E90"/>
    <w:rsid w:val="006D28FD"/>
    <w:rsid w:val="006E2D1F"/>
    <w:rsid w:val="006E494D"/>
    <w:rsid w:val="006E69D8"/>
    <w:rsid w:val="006F2451"/>
    <w:rsid w:val="006F2F97"/>
    <w:rsid w:val="006F5BCA"/>
    <w:rsid w:val="00700E6F"/>
    <w:rsid w:val="007060FF"/>
    <w:rsid w:val="00712654"/>
    <w:rsid w:val="007146FA"/>
    <w:rsid w:val="00717859"/>
    <w:rsid w:val="00717E9F"/>
    <w:rsid w:val="007235BC"/>
    <w:rsid w:val="00724510"/>
    <w:rsid w:val="00732D76"/>
    <w:rsid w:val="00744858"/>
    <w:rsid w:val="0074669E"/>
    <w:rsid w:val="0075079A"/>
    <w:rsid w:val="00760480"/>
    <w:rsid w:val="00763D6C"/>
    <w:rsid w:val="00764566"/>
    <w:rsid w:val="00765322"/>
    <w:rsid w:val="007670BA"/>
    <w:rsid w:val="00767CC5"/>
    <w:rsid w:val="00771C3D"/>
    <w:rsid w:val="007776D2"/>
    <w:rsid w:val="007848D6"/>
    <w:rsid w:val="0078794D"/>
    <w:rsid w:val="00790B38"/>
    <w:rsid w:val="00792E99"/>
    <w:rsid w:val="007A02C5"/>
    <w:rsid w:val="007A2885"/>
    <w:rsid w:val="007A3E2A"/>
    <w:rsid w:val="007A45EA"/>
    <w:rsid w:val="007A5FF3"/>
    <w:rsid w:val="007A6798"/>
    <w:rsid w:val="007B0743"/>
    <w:rsid w:val="007B2F5F"/>
    <w:rsid w:val="007B6251"/>
    <w:rsid w:val="007B69FD"/>
    <w:rsid w:val="007D2BB4"/>
    <w:rsid w:val="007D4AE3"/>
    <w:rsid w:val="007D6334"/>
    <w:rsid w:val="007E0BC7"/>
    <w:rsid w:val="007E1F6F"/>
    <w:rsid w:val="007E34F5"/>
    <w:rsid w:val="007E3A0A"/>
    <w:rsid w:val="007E3AED"/>
    <w:rsid w:val="007F0F3B"/>
    <w:rsid w:val="00803D57"/>
    <w:rsid w:val="0080525D"/>
    <w:rsid w:val="008108EB"/>
    <w:rsid w:val="00811FA3"/>
    <w:rsid w:val="00812B1C"/>
    <w:rsid w:val="0081592B"/>
    <w:rsid w:val="008168C8"/>
    <w:rsid w:val="00822390"/>
    <w:rsid w:val="008263C1"/>
    <w:rsid w:val="0083492C"/>
    <w:rsid w:val="00840402"/>
    <w:rsid w:val="00842682"/>
    <w:rsid w:val="0084337A"/>
    <w:rsid w:val="008473F8"/>
    <w:rsid w:val="00850233"/>
    <w:rsid w:val="00855428"/>
    <w:rsid w:val="00860DDD"/>
    <w:rsid w:val="00870D84"/>
    <w:rsid w:val="008727AE"/>
    <w:rsid w:val="00873305"/>
    <w:rsid w:val="00877871"/>
    <w:rsid w:val="00880A80"/>
    <w:rsid w:val="00880BF9"/>
    <w:rsid w:val="00882370"/>
    <w:rsid w:val="0088741C"/>
    <w:rsid w:val="008960BD"/>
    <w:rsid w:val="00897454"/>
    <w:rsid w:val="008A445F"/>
    <w:rsid w:val="008A52B3"/>
    <w:rsid w:val="008B14CE"/>
    <w:rsid w:val="008B3F47"/>
    <w:rsid w:val="008C7DA7"/>
    <w:rsid w:val="008D0286"/>
    <w:rsid w:val="008D3F78"/>
    <w:rsid w:val="008F35AF"/>
    <w:rsid w:val="008F59E9"/>
    <w:rsid w:val="008F62E9"/>
    <w:rsid w:val="008F774F"/>
    <w:rsid w:val="009137C6"/>
    <w:rsid w:val="009143D1"/>
    <w:rsid w:val="00920314"/>
    <w:rsid w:val="00931361"/>
    <w:rsid w:val="00941B70"/>
    <w:rsid w:val="009428B6"/>
    <w:rsid w:val="009432B5"/>
    <w:rsid w:val="00947ACB"/>
    <w:rsid w:val="0095334B"/>
    <w:rsid w:val="00953648"/>
    <w:rsid w:val="0095676C"/>
    <w:rsid w:val="00957693"/>
    <w:rsid w:val="00962EBD"/>
    <w:rsid w:val="00967FCF"/>
    <w:rsid w:val="009706D3"/>
    <w:rsid w:val="00970D81"/>
    <w:rsid w:val="00974011"/>
    <w:rsid w:val="00977C38"/>
    <w:rsid w:val="0098362A"/>
    <w:rsid w:val="009836CF"/>
    <w:rsid w:val="00987D20"/>
    <w:rsid w:val="00991AEC"/>
    <w:rsid w:val="00994FB1"/>
    <w:rsid w:val="00996FC6"/>
    <w:rsid w:val="009A4969"/>
    <w:rsid w:val="009B341F"/>
    <w:rsid w:val="009B3CCA"/>
    <w:rsid w:val="009B677C"/>
    <w:rsid w:val="009B6FEB"/>
    <w:rsid w:val="009C15EF"/>
    <w:rsid w:val="009C19D5"/>
    <w:rsid w:val="009C258A"/>
    <w:rsid w:val="009C3B32"/>
    <w:rsid w:val="009C6217"/>
    <w:rsid w:val="009C7399"/>
    <w:rsid w:val="009C7469"/>
    <w:rsid w:val="009D29C6"/>
    <w:rsid w:val="009E33F0"/>
    <w:rsid w:val="009F04D0"/>
    <w:rsid w:val="009F0733"/>
    <w:rsid w:val="009F315E"/>
    <w:rsid w:val="009F5074"/>
    <w:rsid w:val="009F5B06"/>
    <w:rsid w:val="009F6921"/>
    <w:rsid w:val="00A05D84"/>
    <w:rsid w:val="00A11C85"/>
    <w:rsid w:val="00A16F1F"/>
    <w:rsid w:val="00A335A3"/>
    <w:rsid w:val="00A35C04"/>
    <w:rsid w:val="00A3741C"/>
    <w:rsid w:val="00A4014B"/>
    <w:rsid w:val="00A422C5"/>
    <w:rsid w:val="00A44BE5"/>
    <w:rsid w:val="00A468F4"/>
    <w:rsid w:val="00A4704A"/>
    <w:rsid w:val="00A47B36"/>
    <w:rsid w:val="00A509F2"/>
    <w:rsid w:val="00A60975"/>
    <w:rsid w:val="00A643F6"/>
    <w:rsid w:val="00A74CAB"/>
    <w:rsid w:val="00A81B92"/>
    <w:rsid w:val="00A92081"/>
    <w:rsid w:val="00A93BAC"/>
    <w:rsid w:val="00AA20C1"/>
    <w:rsid w:val="00AA5858"/>
    <w:rsid w:val="00AB2B7D"/>
    <w:rsid w:val="00AB5117"/>
    <w:rsid w:val="00AB7A9E"/>
    <w:rsid w:val="00AC219F"/>
    <w:rsid w:val="00AC7A57"/>
    <w:rsid w:val="00AD331E"/>
    <w:rsid w:val="00AD7BB3"/>
    <w:rsid w:val="00AE1A6E"/>
    <w:rsid w:val="00AF1C32"/>
    <w:rsid w:val="00AF2695"/>
    <w:rsid w:val="00AF4E9F"/>
    <w:rsid w:val="00AF4F5F"/>
    <w:rsid w:val="00AF5AB9"/>
    <w:rsid w:val="00AF7F7B"/>
    <w:rsid w:val="00B017B9"/>
    <w:rsid w:val="00B01897"/>
    <w:rsid w:val="00B01C8C"/>
    <w:rsid w:val="00B062C7"/>
    <w:rsid w:val="00B172D4"/>
    <w:rsid w:val="00B17E2E"/>
    <w:rsid w:val="00B23214"/>
    <w:rsid w:val="00B24B43"/>
    <w:rsid w:val="00B30A48"/>
    <w:rsid w:val="00B34055"/>
    <w:rsid w:val="00B36F98"/>
    <w:rsid w:val="00B4097F"/>
    <w:rsid w:val="00B41908"/>
    <w:rsid w:val="00B42BB8"/>
    <w:rsid w:val="00B43D36"/>
    <w:rsid w:val="00B4792E"/>
    <w:rsid w:val="00B557B0"/>
    <w:rsid w:val="00B65B9B"/>
    <w:rsid w:val="00B81848"/>
    <w:rsid w:val="00B83E2A"/>
    <w:rsid w:val="00B9036D"/>
    <w:rsid w:val="00B91312"/>
    <w:rsid w:val="00BA0697"/>
    <w:rsid w:val="00BB2642"/>
    <w:rsid w:val="00BC3F7F"/>
    <w:rsid w:val="00BC4678"/>
    <w:rsid w:val="00BC6337"/>
    <w:rsid w:val="00BC7FA6"/>
    <w:rsid w:val="00BD2D95"/>
    <w:rsid w:val="00BE21CC"/>
    <w:rsid w:val="00BE3742"/>
    <w:rsid w:val="00BF3B9D"/>
    <w:rsid w:val="00BF6E83"/>
    <w:rsid w:val="00C07175"/>
    <w:rsid w:val="00C106CC"/>
    <w:rsid w:val="00C13640"/>
    <w:rsid w:val="00C13DF4"/>
    <w:rsid w:val="00C17578"/>
    <w:rsid w:val="00C23A5D"/>
    <w:rsid w:val="00C27921"/>
    <w:rsid w:val="00C30706"/>
    <w:rsid w:val="00C31F0D"/>
    <w:rsid w:val="00C330BD"/>
    <w:rsid w:val="00C332A5"/>
    <w:rsid w:val="00C33D99"/>
    <w:rsid w:val="00C34833"/>
    <w:rsid w:val="00C4327A"/>
    <w:rsid w:val="00C51391"/>
    <w:rsid w:val="00C60922"/>
    <w:rsid w:val="00C70D06"/>
    <w:rsid w:val="00C72BDD"/>
    <w:rsid w:val="00C75C34"/>
    <w:rsid w:val="00C8001D"/>
    <w:rsid w:val="00C81C02"/>
    <w:rsid w:val="00C9075A"/>
    <w:rsid w:val="00C907D9"/>
    <w:rsid w:val="00CB1B90"/>
    <w:rsid w:val="00CB2ED8"/>
    <w:rsid w:val="00CB4AC0"/>
    <w:rsid w:val="00CB56B2"/>
    <w:rsid w:val="00CC0AE5"/>
    <w:rsid w:val="00CC1E5A"/>
    <w:rsid w:val="00CE01A9"/>
    <w:rsid w:val="00CE51B1"/>
    <w:rsid w:val="00CE5A41"/>
    <w:rsid w:val="00D05D12"/>
    <w:rsid w:val="00D07969"/>
    <w:rsid w:val="00D07C98"/>
    <w:rsid w:val="00D11ED3"/>
    <w:rsid w:val="00D148C7"/>
    <w:rsid w:val="00D14D53"/>
    <w:rsid w:val="00D16D50"/>
    <w:rsid w:val="00D24C5E"/>
    <w:rsid w:val="00D253E6"/>
    <w:rsid w:val="00D33695"/>
    <w:rsid w:val="00D3394A"/>
    <w:rsid w:val="00D41C73"/>
    <w:rsid w:val="00D47B52"/>
    <w:rsid w:val="00D50B9A"/>
    <w:rsid w:val="00D50D6B"/>
    <w:rsid w:val="00D51363"/>
    <w:rsid w:val="00D5480A"/>
    <w:rsid w:val="00D62872"/>
    <w:rsid w:val="00D67365"/>
    <w:rsid w:val="00D743C8"/>
    <w:rsid w:val="00D757D9"/>
    <w:rsid w:val="00D80D41"/>
    <w:rsid w:val="00D83B8C"/>
    <w:rsid w:val="00D9486D"/>
    <w:rsid w:val="00DA22EF"/>
    <w:rsid w:val="00DA69F6"/>
    <w:rsid w:val="00DB4FB5"/>
    <w:rsid w:val="00DB5174"/>
    <w:rsid w:val="00DB581C"/>
    <w:rsid w:val="00DC0683"/>
    <w:rsid w:val="00DC53C0"/>
    <w:rsid w:val="00DC6722"/>
    <w:rsid w:val="00DC6C11"/>
    <w:rsid w:val="00DD10BE"/>
    <w:rsid w:val="00DD409A"/>
    <w:rsid w:val="00DE4974"/>
    <w:rsid w:val="00DE6505"/>
    <w:rsid w:val="00DE7226"/>
    <w:rsid w:val="00DF1EC7"/>
    <w:rsid w:val="00DF6DC7"/>
    <w:rsid w:val="00E01823"/>
    <w:rsid w:val="00E216C1"/>
    <w:rsid w:val="00E22072"/>
    <w:rsid w:val="00E273B8"/>
    <w:rsid w:val="00E33112"/>
    <w:rsid w:val="00E3541A"/>
    <w:rsid w:val="00E42E7B"/>
    <w:rsid w:val="00E42FCE"/>
    <w:rsid w:val="00E468D7"/>
    <w:rsid w:val="00E53E75"/>
    <w:rsid w:val="00E55913"/>
    <w:rsid w:val="00E578E1"/>
    <w:rsid w:val="00E57F53"/>
    <w:rsid w:val="00E60549"/>
    <w:rsid w:val="00E736BD"/>
    <w:rsid w:val="00E748EA"/>
    <w:rsid w:val="00E75A18"/>
    <w:rsid w:val="00E769DD"/>
    <w:rsid w:val="00E77E64"/>
    <w:rsid w:val="00E802EF"/>
    <w:rsid w:val="00E81C16"/>
    <w:rsid w:val="00E8636B"/>
    <w:rsid w:val="00E95143"/>
    <w:rsid w:val="00E9799A"/>
    <w:rsid w:val="00EA4DE6"/>
    <w:rsid w:val="00EB4B4A"/>
    <w:rsid w:val="00EB693E"/>
    <w:rsid w:val="00EC3A01"/>
    <w:rsid w:val="00EE072F"/>
    <w:rsid w:val="00EE1B60"/>
    <w:rsid w:val="00EE79D6"/>
    <w:rsid w:val="00EF06F4"/>
    <w:rsid w:val="00EF3454"/>
    <w:rsid w:val="00EF5D91"/>
    <w:rsid w:val="00F0070A"/>
    <w:rsid w:val="00F06C29"/>
    <w:rsid w:val="00F12418"/>
    <w:rsid w:val="00F214E7"/>
    <w:rsid w:val="00F21C7A"/>
    <w:rsid w:val="00F22D15"/>
    <w:rsid w:val="00F23DF4"/>
    <w:rsid w:val="00F2719B"/>
    <w:rsid w:val="00F27E4F"/>
    <w:rsid w:val="00F303C0"/>
    <w:rsid w:val="00F408C6"/>
    <w:rsid w:val="00F40C3E"/>
    <w:rsid w:val="00F42B00"/>
    <w:rsid w:val="00F439E1"/>
    <w:rsid w:val="00F5074E"/>
    <w:rsid w:val="00F5116D"/>
    <w:rsid w:val="00F520A4"/>
    <w:rsid w:val="00F55C3F"/>
    <w:rsid w:val="00F56694"/>
    <w:rsid w:val="00F573F1"/>
    <w:rsid w:val="00F60BA8"/>
    <w:rsid w:val="00F66E45"/>
    <w:rsid w:val="00F70AAC"/>
    <w:rsid w:val="00F715B5"/>
    <w:rsid w:val="00F77007"/>
    <w:rsid w:val="00F81EE1"/>
    <w:rsid w:val="00F8425E"/>
    <w:rsid w:val="00FA431E"/>
    <w:rsid w:val="00FA7344"/>
    <w:rsid w:val="00FB0D5D"/>
    <w:rsid w:val="00FB309B"/>
    <w:rsid w:val="00FC00B5"/>
    <w:rsid w:val="00FC37F5"/>
    <w:rsid w:val="00FC46D4"/>
    <w:rsid w:val="00FC5AA1"/>
    <w:rsid w:val="00FC73F9"/>
    <w:rsid w:val="00FD065E"/>
    <w:rsid w:val="00FD4A10"/>
    <w:rsid w:val="00FD556A"/>
    <w:rsid w:val="00FD5E00"/>
    <w:rsid w:val="00FE2B52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2DF6"/>
  <w15:docId w15:val="{AAFC3C30-E02B-4D89-9091-4C9EB30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81592B"/>
    <w:pPr>
      <w:numPr>
        <w:numId w:val="13"/>
      </w:numPr>
      <w:tabs>
        <w:tab w:val="clear" w:pos="720"/>
      </w:tabs>
      <w:suppressAutoHyphens w:val="0"/>
      <w:spacing w:after="120" w:line="240" w:lineRule="auto"/>
      <w:outlineLvl w:val="1"/>
    </w:pPr>
    <w:rPr>
      <w:rFonts w:ascii="Roboto" w:eastAsia="Times New Roman" w:hAnsi="Roboto" w:cs="Times New Roman"/>
      <w:b/>
      <w:snapToGrid w:val="0"/>
      <w:color w:val="auto"/>
      <w:lang w:val="en-US" w:eastAsia="en-GB"/>
    </w:rPr>
  </w:style>
  <w:style w:type="paragraph" w:styleId="Heading3">
    <w:name w:val="heading 3"/>
    <w:basedOn w:val="Normal"/>
    <w:next w:val="Normal"/>
    <w:link w:val="Heading3Char1"/>
    <w:qFormat/>
    <w:rsid w:val="0081592B"/>
    <w:pPr>
      <w:numPr>
        <w:ilvl w:val="1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1592B"/>
    <w:pPr>
      <w:numPr>
        <w:ilvl w:val="2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color w:val="auto"/>
      <w:sz w:val="20"/>
      <w:szCs w:val="24"/>
      <w:lang w:val="ru-RU" w:eastAsia="en-GB"/>
    </w:rPr>
  </w:style>
  <w:style w:type="paragraph" w:styleId="Heading5">
    <w:name w:val="heading 5"/>
    <w:basedOn w:val="Normal"/>
    <w:next w:val="Normal"/>
    <w:link w:val="Heading5Char"/>
    <w:qFormat/>
    <w:rsid w:val="0081592B"/>
    <w:pPr>
      <w:numPr>
        <w:ilvl w:val="3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BC6337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rsid w:val="0081592B"/>
    <w:rPr>
      <w:rFonts w:ascii="Roboto" w:eastAsia="Times New Roman" w:hAnsi="Roboto" w:cs="Times New Roman"/>
      <w:b/>
      <w:snapToGrid w:val="0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81592B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81592B"/>
    <w:rPr>
      <w:rFonts w:ascii="Times New Roman" w:eastAsia="Times New Roman" w:hAnsi="Times New Roman" w:cs="Times New Roman"/>
      <w:snapToGrid w:val="0"/>
      <w:sz w:val="20"/>
      <w:szCs w:val="24"/>
      <w:lang w:val="ru-RU" w:eastAsia="en-GB"/>
    </w:rPr>
  </w:style>
  <w:style w:type="character" w:customStyle="1" w:styleId="Heading5Char">
    <w:name w:val="Heading 5 Char"/>
    <w:basedOn w:val="DefaultParagraphFont"/>
    <w:link w:val="Heading5"/>
    <w:rsid w:val="0081592B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3Char1">
    <w:name w:val="Heading 3 Char1"/>
    <w:link w:val="Heading3"/>
    <w:locked/>
    <w:rsid w:val="0081592B"/>
    <w:rPr>
      <w:rFonts w:ascii="Times New Roman" w:eastAsia="Times New Roman" w:hAnsi="Times New Roman" w:cs="Times New Roman"/>
      <w:snapToGrid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ar.grubac@pi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ar.grubac@piu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46AC-348D-4FF8-8321-2C2B0EE5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4</cp:revision>
  <dcterms:created xsi:type="dcterms:W3CDTF">2020-04-08T13:32:00Z</dcterms:created>
  <dcterms:modified xsi:type="dcterms:W3CDTF">2020-04-27T06:51:00Z</dcterms:modified>
</cp:coreProperties>
</file>