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1987"/>
        <w:gridCol w:w="486"/>
        <w:gridCol w:w="146"/>
        <w:gridCol w:w="90"/>
        <w:gridCol w:w="3844"/>
      </w:tblGrid>
      <w:tr w:rsidR="00C45B7A" w:rsidRPr="00C45B7A" w14:paraId="33798FD1" w14:textId="77777777" w:rsidTr="00E95F7C">
        <w:tc>
          <w:tcPr>
            <w:tcW w:w="5000" w:type="pct"/>
            <w:gridSpan w:val="6"/>
          </w:tcPr>
          <w:p w14:paraId="5A0CE384" w14:textId="3FDF462A" w:rsidR="00BD6B19" w:rsidRPr="00BD6B19" w:rsidRDefault="00BD6B19" w:rsidP="00BD6B19">
            <w:pPr>
              <w:tabs>
                <w:tab w:val="left" w:pos="720"/>
              </w:tabs>
              <w:suppressAutoHyphens/>
              <w:spacing w:before="60" w:after="60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</w:pPr>
            <w:r w:rsidRPr="00BD6B19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>Nabavka nepredviđenih ra</w:t>
            </w:r>
            <w:r w:rsidR="00017EEE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>dova na izgradnji višeporodičnog stambenog objekta</w:t>
            </w:r>
            <w:r w:rsidRPr="00BD6B19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 xml:space="preserve"> </w:t>
            </w:r>
            <w:r w:rsidR="00DB3BEB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>na lokaciji Temerin</w:t>
            </w:r>
            <w:r w:rsidRPr="00BD6B19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 xml:space="preserve"> u okviru R</w:t>
            </w:r>
            <w:r w:rsidR="00017EEE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>SP</w:t>
            </w:r>
            <w:r w:rsidRPr="00BD6B19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 xml:space="preserve"> – peti potprojekat</w:t>
            </w:r>
          </w:p>
          <w:p w14:paraId="60E7B0E1" w14:textId="0429330C" w:rsidR="00C45B7A" w:rsidRPr="00C45B7A" w:rsidRDefault="00C45B7A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4C24B7" w14:paraId="5E94254D" w14:textId="77777777" w:rsidTr="00F80A3F">
        <w:tc>
          <w:tcPr>
            <w:tcW w:w="5000" w:type="pct"/>
            <w:gridSpan w:val="6"/>
            <w:vAlign w:val="center"/>
          </w:tcPr>
          <w:p w14:paraId="25559DE7" w14:textId="77777777" w:rsidR="003B2923" w:rsidRPr="004C24B7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152925B5" w:rsidR="00353783" w:rsidRPr="004C24B7" w:rsidRDefault="004C24B7" w:rsidP="006F17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F177B">
              <w:rPr>
                <w:rFonts w:ascii="Times New Roman" w:hAnsi="Times New Roman" w:cs="Times New Roman"/>
                <w:b/>
                <w:sz w:val="24"/>
                <w:szCs w:val="24"/>
              </w:rPr>
              <w:t>PREGOVARAČKI POSTUPAK BEZ OBJAVLJIVANJA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POZIVA ZA PODNOŠENJE PONUDA</w:t>
            </w:r>
          </w:p>
        </w:tc>
      </w:tr>
      <w:tr w:rsidR="00353783" w:rsidRPr="004C24B7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1897CA2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3CD3BD4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7A99E8B2" w:rsidR="00353783" w:rsidRPr="00C13B54" w:rsidRDefault="00464187" w:rsidP="00B81206">
            <w:pPr>
              <w:spacing w:before="60" w:after="60"/>
              <w:ind w:left="-331" w:firstLine="3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Latn-CS"/>
              </w:rPr>
              <w:t>RHP-W</w:t>
            </w:r>
            <w:r w:rsidR="0063503E">
              <w:rPr>
                <w:rFonts w:ascii="Times New Roman" w:hAnsi="Times New Roman" w:cs="Times New Roman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lang w:val="sr-Latn-CS"/>
              </w:rPr>
              <w:t>-</w:t>
            </w:r>
            <w:r w:rsidRPr="00823157">
              <w:rPr>
                <w:rFonts w:ascii="Times New Roman" w:hAnsi="Times New Roman" w:cs="Times New Roman"/>
                <w:lang w:val="sr-Latn-CS"/>
              </w:rPr>
              <w:t>AB</w:t>
            </w:r>
            <w:r>
              <w:rPr>
                <w:rFonts w:ascii="Times New Roman" w:hAnsi="Times New Roman" w:cs="Times New Roman"/>
                <w:lang w:val="sr-Latn-CS"/>
              </w:rPr>
              <w:t>-</w:t>
            </w:r>
            <w:r w:rsidR="006F177B">
              <w:rPr>
                <w:rFonts w:ascii="Times New Roman" w:hAnsi="Times New Roman" w:cs="Times New Roman"/>
                <w:lang w:val="sr-Latn-CS"/>
              </w:rPr>
              <w:t>ACW</w:t>
            </w:r>
            <w:r w:rsidRPr="00823157">
              <w:rPr>
                <w:rFonts w:ascii="Times New Roman" w:hAnsi="Times New Roman" w:cs="Times New Roman"/>
                <w:lang w:val="sr-Latn-CS"/>
              </w:rPr>
              <w:t>/</w:t>
            </w:r>
            <w:r w:rsidR="006F177B">
              <w:rPr>
                <w:rFonts w:ascii="Times New Roman" w:hAnsi="Times New Roman" w:cs="Times New Roman"/>
                <w:lang w:val="sr-Latn-CS"/>
              </w:rPr>
              <w:t>N</w:t>
            </w:r>
            <w:r w:rsidRPr="00823157">
              <w:rPr>
                <w:rFonts w:ascii="Times New Roman" w:hAnsi="Times New Roman" w:cs="Times New Roman"/>
                <w:lang w:val="sr-Latn-CS"/>
              </w:rPr>
              <w:t>P</w:t>
            </w:r>
            <w:r w:rsidR="00DB3BEB">
              <w:rPr>
                <w:rFonts w:ascii="Times New Roman" w:hAnsi="Times New Roman" w:cs="Times New Roman"/>
                <w:lang w:val="sr-Latn-CS"/>
              </w:rPr>
              <w:t>8-2020</w:t>
            </w:r>
          </w:p>
        </w:tc>
      </w:tr>
      <w:tr w:rsidR="00353783" w:rsidRPr="004C24B7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5"/>
          </w:tcPr>
          <w:p w14:paraId="54FDE42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C24B7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DACE092" w14:textId="77777777" w:rsidR="00353783" w:rsidRPr="004C24B7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074A07E" w14:textId="77777777" w:rsidR="0063503E" w:rsidRPr="0063503E" w:rsidRDefault="0063503E" w:rsidP="0063503E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63503E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63503E">
              <w:rPr>
                <w:rFonts w:ascii="Times New Roman" w:hAnsi="Times New Roman" w:cs="Times New Roman"/>
                <w:i/>
                <w:lang w:val="sr-Cyrl-CS"/>
              </w:rPr>
              <w:t>(Regional Housing Programme – RHP/ Regionalni stambeni program u Republici Srbiji)</w:t>
            </w:r>
            <w:r w:rsidRPr="0063503E">
              <w:rPr>
                <w:rFonts w:ascii="Times New Roman" w:hAnsi="Times New Roman" w:cs="Times New Roman"/>
                <w:i/>
              </w:rPr>
              <w:t>.</w:t>
            </w:r>
          </w:p>
          <w:p w14:paraId="0C2FF27F" w14:textId="7D80F457" w:rsidR="00353783" w:rsidRPr="0063503E" w:rsidRDefault="0063503E" w:rsidP="0063503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3E">
              <w:rPr>
                <w:rFonts w:ascii="Times New Roman" w:hAnsi="Times New Roman" w:cs="Times New Roman"/>
                <w:lang w:val="sr-Cyrl-CS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</w:t>
            </w:r>
            <w:r w:rsidRPr="0063503E">
              <w:rPr>
                <w:rFonts w:ascii="Times New Roman" w:hAnsi="Times New Roman" w:cs="Times New Roman"/>
                <w:lang w:val="sr-Latn-CS"/>
              </w:rPr>
              <w:t xml:space="preserve">petog </w:t>
            </w:r>
            <w:r w:rsidRPr="0063503E">
              <w:rPr>
                <w:rFonts w:ascii="Times New Roman" w:hAnsi="Times New Roman" w:cs="Times New Roman"/>
                <w:lang w:val="sr-Cyrl-CS"/>
              </w:rPr>
              <w:t xml:space="preserve">potprojekta  Regionalnog programa stambenog zbrinjavanja, potpisanog </w:t>
            </w:r>
            <w:r w:rsidRPr="0063503E">
              <w:rPr>
                <w:rFonts w:ascii="Times New Roman" w:hAnsi="Times New Roman" w:cs="Times New Roman"/>
                <w:lang w:val="sr-Latn-CS"/>
              </w:rPr>
              <w:t>14</w:t>
            </w:r>
            <w:r w:rsidRPr="0063503E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63503E">
              <w:rPr>
                <w:rFonts w:ascii="Times New Roman" w:hAnsi="Times New Roman" w:cs="Times New Roman"/>
                <w:lang w:val="sr-Latn-CS"/>
              </w:rPr>
              <w:t>avgusta</w:t>
            </w:r>
            <w:r w:rsidRPr="0063503E">
              <w:rPr>
                <w:rFonts w:ascii="Times New Roman" w:hAnsi="Times New Roman" w:cs="Times New Roman"/>
                <w:lang w:val="sr-Cyrl-CS"/>
              </w:rPr>
              <w:t xml:space="preserve"> 201</w:t>
            </w:r>
            <w:r w:rsidRPr="0063503E">
              <w:rPr>
                <w:rFonts w:ascii="Times New Roman" w:hAnsi="Times New Roman" w:cs="Times New Roman"/>
                <w:lang w:val="sr-Latn-CS"/>
              </w:rPr>
              <w:t>5</w:t>
            </w:r>
            <w:r w:rsidRPr="0063503E">
              <w:rPr>
                <w:rFonts w:ascii="Times New Roman" w:hAnsi="Times New Roman" w:cs="Times New Roman"/>
                <w:lang w:val="sr-Cyrl-CS"/>
              </w:rPr>
              <w:t>. godine.</w:t>
            </w:r>
          </w:p>
        </w:tc>
      </w:tr>
      <w:tr w:rsidR="00353783" w:rsidRPr="004C24B7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E3ACB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090E4F8" w14:textId="46B900F5" w:rsidR="00F80A3F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4C24B7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C24B7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FF61E4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4716CDFC" w14:textId="22035E6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C24B7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C24B7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254079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33BF735" w14:textId="4B64143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C24B7" w:rsidRDefault="006F154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4F8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C24B7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5269DCC" w14:textId="77777777" w:rsidR="00353783" w:rsidRPr="004C24B7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81C29F3" w14:textId="36A3065A" w:rsidR="00F80A3F" w:rsidRPr="004C24B7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4D4DFB11" w:rsidR="00F80A3F" w:rsidRPr="004C24B7" w:rsidRDefault="006F177B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Ugovor o izvođenju radova</w:t>
            </w:r>
          </w:p>
        </w:tc>
      </w:tr>
      <w:tr w:rsidR="00353783" w:rsidRPr="004C24B7" w14:paraId="53CCE512" w14:textId="77777777" w:rsidTr="00425D70">
        <w:tc>
          <w:tcPr>
            <w:tcW w:w="349" w:type="pct"/>
          </w:tcPr>
          <w:p w14:paraId="55FC3F3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912081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C24B7" w14:paraId="12A683BC" w14:textId="77777777" w:rsidTr="00425D70">
        <w:tc>
          <w:tcPr>
            <w:tcW w:w="349" w:type="pct"/>
          </w:tcPr>
          <w:p w14:paraId="767CBC67" w14:textId="3F8BAF68" w:rsidR="00DB3BEB" w:rsidRDefault="00DB3BEB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6B0D6" w14:textId="77777777" w:rsidR="00DB3BEB" w:rsidRPr="00DB3BEB" w:rsidRDefault="00DB3BEB" w:rsidP="00DB3BEB"/>
          <w:p w14:paraId="32B0B4BF" w14:textId="77777777" w:rsidR="00DB3BEB" w:rsidRPr="00DB3BEB" w:rsidRDefault="00DB3BEB" w:rsidP="00DB3BEB"/>
          <w:p w14:paraId="2BFD8B6E" w14:textId="77777777" w:rsidR="00DB3BEB" w:rsidRPr="00DB3BEB" w:rsidRDefault="00DB3BEB" w:rsidP="00DB3BEB"/>
          <w:p w14:paraId="6CD4FFD8" w14:textId="4012CADE" w:rsidR="00F80A3F" w:rsidRPr="00DB3BEB" w:rsidRDefault="00F80A3F" w:rsidP="00DB3BEB"/>
        </w:tc>
        <w:tc>
          <w:tcPr>
            <w:tcW w:w="4651" w:type="pct"/>
            <w:gridSpan w:val="5"/>
          </w:tcPr>
          <w:p w14:paraId="0C617A89" w14:textId="69F22740" w:rsidR="00F80A3F" w:rsidRPr="004C24B7" w:rsidRDefault="0046687E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Nabavka nepredviđenih radova na izgradnji višeporodičnog stambenog 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šifra iz ORN: </w:t>
            </w:r>
            <w:r w:rsidRPr="0046687E">
              <w:rPr>
                <w:rFonts w:ascii="Times New Roman" w:hAnsi="Times New Roman" w:cs="Times New Roman"/>
                <w:b/>
                <w:sz w:val="24"/>
                <w:szCs w:val="24"/>
              </w:rPr>
              <w:t>45211100 – Radovi na izgradnji zgrada</w:t>
            </w:r>
          </w:p>
        </w:tc>
      </w:tr>
      <w:tr w:rsidR="00353783" w:rsidRPr="004C24B7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7A57B4E1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U sporazumu o implementaciji programa o stambenom zbrinjavanju u Srbiji, izgradnja višestambenih objekata predviđena je kao jedan od modaliteta ( A1: Višestambeni objekti) koji će biti sproveden u više implementacionih  faza. </w:t>
            </w:r>
          </w:p>
          <w:p w14:paraId="0928CBCE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Pomenuti modalitet stambenog zbrinjavanja definisan je kao ukupno zbrinjavanje u objektima na novim lokacijama i odnosi se na izbeglice koje se žele integrisati u lokalne zajednice kao korisnici.</w:t>
            </w:r>
          </w:p>
          <w:p w14:paraId="7D1F5C3F" w14:textId="079521FE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Obim ovog projekta podrazumeva vršenje </w:t>
            </w:r>
            <w:r w:rsidR="00AF1D95" w:rsidRP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nepredviđenih radova na izgradnji višeporodičnog stambenog objekta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eastAsia="en-US"/>
              </w:rPr>
              <w:t xml:space="preserve"> 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na lokacij</w:t>
            </w:r>
            <w:r w:rsid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i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koj</w:t>
            </w:r>
            <w:r w:rsid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</w:t>
            </w:r>
            <w:r w:rsid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je</w:t>
            </w:r>
            <w:r w:rsidR="000D3551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definisana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u </w:t>
            </w:r>
            <w:r w:rsidR="000D3551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Specifikaciji sa predmerom i predračunom nepredviđenih radova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– </w:t>
            </w:r>
            <w:r w:rsidR="000D3551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Obrazac 3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tenderskog dosijea.</w:t>
            </w:r>
          </w:p>
          <w:p w14:paraId="55C7C0B8" w14:textId="729CEC79" w:rsidR="00B613B5" w:rsidRPr="004C24B7" w:rsidRDefault="00B613B5" w:rsidP="003B29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317E350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2F47023C" w14:textId="77777777" w:rsidR="00353783" w:rsidRPr="002A728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4D81E65B" w:rsidR="003B2923" w:rsidRPr="002A7285" w:rsidRDefault="00017EEE" w:rsidP="00017EE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862,48</w:t>
            </w:r>
            <w:r w:rsidR="00BD6B19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F1D9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2A7285" w:rsidRPr="002A728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2A728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  <w:r w:rsidR="00742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1034,98</w:t>
            </w:r>
            <w:r w:rsidR="00BD6B1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F1D95">
              <w:rPr>
                <w:rFonts w:ascii="Times New Roman" w:hAnsi="Times New Roman"/>
                <w:sz w:val="24"/>
                <w:lang w:val="es-ES"/>
              </w:rPr>
              <w:t>EUR</w:t>
            </w:r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proofErr w:type="spellStart"/>
            <w:r w:rsidR="00C13B54">
              <w:rPr>
                <w:rFonts w:ascii="Times New Roman" w:hAnsi="Times New Roman"/>
                <w:sz w:val="24"/>
                <w:lang w:val="es-ES"/>
              </w:rPr>
              <w:t>sa</w:t>
            </w:r>
            <w:proofErr w:type="spellEnd"/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PDV</w:t>
            </w:r>
            <w:r w:rsidR="00742515">
              <w:rPr>
                <w:rFonts w:ascii="Times New Roman" w:hAnsi="Times New Roman"/>
                <w:sz w:val="24"/>
                <w:lang w:val="es-ES"/>
              </w:rPr>
              <w:t>)</w:t>
            </w:r>
          </w:p>
        </w:tc>
      </w:tr>
      <w:tr w:rsidR="00353783" w:rsidRPr="004C24B7" w14:paraId="34B70120" w14:textId="77777777" w:rsidTr="00425D70">
        <w:tc>
          <w:tcPr>
            <w:tcW w:w="349" w:type="pct"/>
          </w:tcPr>
          <w:p w14:paraId="7BEC17B6" w14:textId="2F4D075F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2B569C4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E83749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4D05C57D" w14:textId="77777777" w:rsidTr="00971DB8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29CD88CC" w14:textId="3756FCAA" w:rsidR="00353783" w:rsidRPr="004C24B7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2">
              <w:rPr>
                <w:rFonts w:ascii="Times New Roman" w:hAnsi="Times New Roman" w:cs="Times New Roman"/>
                <w:sz w:val="24"/>
                <w:szCs w:val="24"/>
              </w:rPr>
              <w:t>Najniža ponuđena cena</w:t>
            </w:r>
            <w:r w:rsidRPr="00AF1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53783" w:rsidRPr="004C24B7" w14:paraId="7DA0C035" w14:textId="77777777" w:rsidTr="00971DB8">
        <w:trPr>
          <w:trHeight w:val="236"/>
        </w:trPr>
        <w:tc>
          <w:tcPr>
            <w:tcW w:w="349" w:type="pct"/>
          </w:tcPr>
          <w:p w14:paraId="71761BE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B1988C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20E02F7" w14:textId="77777777" w:rsidTr="00971DB8">
        <w:trPr>
          <w:trHeight w:val="376"/>
        </w:trPr>
        <w:tc>
          <w:tcPr>
            <w:tcW w:w="349" w:type="pct"/>
          </w:tcPr>
          <w:p w14:paraId="1AFABED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14:paraId="2079302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BAE00A8" w:rsidR="00353783" w:rsidRPr="004C24B7" w:rsidRDefault="00AF1D95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(jedna)</w:t>
            </w:r>
          </w:p>
        </w:tc>
      </w:tr>
      <w:tr w:rsidR="00353783" w:rsidRPr="004C24B7" w14:paraId="5063C709" w14:textId="77777777" w:rsidTr="00971DB8">
        <w:trPr>
          <w:trHeight w:val="232"/>
        </w:trPr>
        <w:tc>
          <w:tcPr>
            <w:tcW w:w="349" w:type="pct"/>
          </w:tcPr>
          <w:p w14:paraId="4B6BC841" w14:textId="77777777" w:rsidR="00353783" w:rsidRPr="00971DB8" w:rsidRDefault="00353783" w:rsidP="00971DB8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0EE489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13C37A1" w14:textId="77777777" w:rsidTr="00971DB8">
        <w:trPr>
          <w:trHeight w:val="696"/>
        </w:trPr>
        <w:tc>
          <w:tcPr>
            <w:tcW w:w="349" w:type="pct"/>
          </w:tcPr>
          <w:p w14:paraId="1ED7799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B615D11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CAC2DDD" w14:textId="77777777" w:rsidTr="00971DB8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E68FC84" w14:textId="7EBED0A6" w:rsidR="00353783" w:rsidRPr="004C24B7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C24B7" w14:paraId="0EF0E8B7" w14:textId="77777777" w:rsidTr="00971DB8">
        <w:trPr>
          <w:trHeight w:val="238"/>
        </w:trPr>
        <w:tc>
          <w:tcPr>
            <w:tcW w:w="349" w:type="pct"/>
          </w:tcPr>
          <w:p w14:paraId="7468764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68ECA3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1F566AF1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60C7E942" w:rsidR="00353783" w:rsidRPr="00C13B54" w:rsidRDefault="00017EEE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23.6.2020</w:t>
            </w:r>
            <w:r w:rsidR="00317223" w:rsidRPr="00C13B54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65A72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5A6109B6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3D3F7DB3" w:rsidR="00317223" w:rsidRPr="004C24B7" w:rsidRDefault="00017EEE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9.7.2020</w:t>
            </w:r>
            <w:r w:rsidR="00F32387" w:rsidRPr="00F6388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8E8946F" w14:textId="77777777" w:rsidR="00353783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4ACD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8A91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5AC52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4CFF" w14:textId="77777777" w:rsidR="00127351" w:rsidRDefault="00127351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90AD" w14:textId="77777777" w:rsidR="00127351" w:rsidRDefault="00127351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8355" w14:textId="77777777" w:rsidR="00742515" w:rsidRPr="004C24B7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B81DD8" w14:textId="72E547D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C24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C24B7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DA0C4E2" w14:textId="61DE0703" w:rsidR="00050187" w:rsidRDefault="00050187" w:rsidP="000501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 „</w:t>
            </w:r>
            <w:r w:rsidR="00C05E6B" w:rsidRPr="00050187">
              <w:rPr>
                <w:rFonts w:ascii="Times New Roman" w:hAnsi="Times New Roman" w:cs="Times New Roman"/>
                <w:b/>
                <w:sz w:val="24"/>
                <w:szCs w:val="24"/>
              </w:rPr>
              <w:t>ZLATIBOR-GRADNJA BEOGRAD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C05E6B" w:rsidRPr="0005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 BEOGRA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D, Požeška 104a, 11030 Beograd;</w:t>
            </w:r>
          </w:p>
          <w:p w14:paraId="33898C15" w14:textId="7BADEEC9" w:rsidR="007275E4" w:rsidRPr="00050187" w:rsidRDefault="00C05E6B" w:rsidP="000501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87">
              <w:rPr>
                <w:rFonts w:ascii="Times New Roman" w:hAnsi="Times New Roman" w:cs="Times New Roman"/>
                <w:b/>
                <w:sz w:val="24"/>
                <w:szCs w:val="24"/>
              </w:rPr>
              <w:t>PIB: 102</w:t>
            </w:r>
            <w:r w:rsidR="00050187">
              <w:rPr>
                <w:rFonts w:ascii="Times New Roman" w:hAnsi="Times New Roman" w:cs="Times New Roman"/>
                <w:b/>
                <w:sz w:val="24"/>
                <w:szCs w:val="24"/>
              </w:rPr>
              <w:t>004512, matični broj: 17168843.</w:t>
            </w:r>
          </w:p>
        </w:tc>
      </w:tr>
      <w:tr w:rsidR="00353783" w:rsidRPr="004C24B7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1882D283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E7D42E7" w14:textId="77777777" w:rsidR="00353783" w:rsidRPr="00F6388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5AF2C337" w14:textId="77777777" w:rsidR="00353783" w:rsidRPr="00F6388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F63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64A60D4D" w14:textId="77777777" w:rsidR="00353783" w:rsidRDefault="00127351" w:rsidP="00724DF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51">
              <w:rPr>
                <w:rFonts w:ascii="Times New Roman" w:hAnsi="Times New Roman" w:cs="Times New Roman"/>
                <w:sz w:val="24"/>
                <w:szCs w:val="24"/>
              </w:rPr>
              <w:t>Ovaj Aneks Osnovnog ugovora stupa na snagu danom potpisivanj</w:t>
            </w:r>
            <w:r w:rsidR="00050187">
              <w:rPr>
                <w:rFonts w:ascii="Times New Roman" w:hAnsi="Times New Roman" w:cs="Times New Roman"/>
                <w:sz w:val="24"/>
                <w:szCs w:val="24"/>
              </w:rPr>
              <w:t>a od strane obe ugovorne strane i dostavljanjem blanko solo menice za dobro izvršenje posla sa meničnim ovlašćenjem.</w:t>
            </w:r>
          </w:p>
          <w:p w14:paraId="2E37F02B" w14:textId="338E870C" w:rsidR="00050187" w:rsidRPr="00F6388D" w:rsidRDefault="00050187" w:rsidP="00724DF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 ostale odredbe Osnovnog ugovora</w:t>
            </w:r>
            <w:r w:rsidR="00B81206">
              <w:rPr>
                <w:rFonts w:ascii="Times New Roman" w:hAnsi="Times New Roman" w:cs="Times New Roman"/>
                <w:sz w:val="24"/>
                <w:szCs w:val="24"/>
              </w:rPr>
              <w:t xml:space="preserve"> koje nisu menjane ovim aneksom ostaju i dalje na snazi i nepromenjene.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783" w:rsidRPr="004C24B7" w14:paraId="47A3EAEF" w14:textId="77777777" w:rsidTr="00425D70">
        <w:tc>
          <w:tcPr>
            <w:tcW w:w="349" w:type="pct"/>
          </w:tcPr>
          <w:p w14:paraId="74B18BC9" w14:textId="51593C6E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A4C99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F01A3A5" w14:textId="77777777" w:rsidTr="00425D70">
        <w:tc>
          <w:tcPr>
            <w:tcW w:w="349" w:type="pct"/>
          </w:tcPr>
          <w:p w14:paraId="313ED5E7" w14:textId="77777777" w:rsidR="00353783" w:rsidRPr="004C24B7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2A0D469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1B1D5836" w14:textId="77777777" w:rsidR="00462B6D" w:rsidRPr="004C24B7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4C24B7" w:rsidRDefault="006F154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4C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4C24B7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C24B7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D31D" w14:textId="77777777" w:rsidR="006F1540" w:rsidRDefault="006F1540" w:rsidP="00F80A3F">
      <w:pPr>
        <w:spacing w:after="0" w:line="240" w:lineRule="auto"/>
      </w:pPr>
      <w:r>
        <w:separator/>
      </w:r>
    </w:p>
  </w:endnote>
  <w:endnote w:type="continuationSeparator" w:id="0">
    <w:p w14:paraId="2F572490" w14:textId="77777777" w:rsidR="006F1540" w:rsidRDefault="006F1540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32252717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DB3BEB">
            <w:rPr>
              <w:rFonts w:ascii="Times New Roman" w:hAnsi="Times New Roman" w:cs="Times New Roman"/>
            </w:rPr>
            <w:t>020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B81206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548D" w14:textId="77777777" w:rsidR="006F1540" w:rsidRDefault="006F1540" w:rsidP="00F80A3F">
      <w:pPr>
        <w:spacing w:after="0" w:line="240" w:lineRule="auto"/>
      </w:pPr>
      <w:r>
        <w:separator/>
      </w:r>
    </w:p>
  </w:footnote>
  <w:footnote w:type="continuationSeparator" w:id="0">
    <w:p w14:paraId="2FEC1F83" w14:textId="77777777" w:rsidR="006F1540" w:rsidRDefault="006F1540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91"/>
    <w:multiLevelType w:val="hybridMultilevel"/>
    <w:tmpl w:val="D39A422A"/>
    <w:lvl w:ilvl="0" w:tplc="241A000F">
      <w:start w:val="1"/>
      <w:numFmt w:val="decimal"/>
      <w:lvlText w:val="%1."/>
      <w:lvlJc w:val="left"/>
      <w:pPr>
        <w:ind w:left="643" w:hanging="360"/>
      </w:p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71DF"/>
    <w:multiLevelType w:val="hybridMultilevel"/>
    <w:tmpl w:val="7B2CC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60F2"/>
    <w:multiLevelType w:val="hybridMultilevel"/>
    <w:tmpl w:val="CBE0D2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62CA"/>
    <w:multiLevelType w:val="hybridMultilevel"/>
    <w:tmpl w:val="FF88C5F4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6AE2"/>
    <w:multiLevelType w:val="hybridMultilevel"/>
    <w:tmpl w:val="399200EC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5433"/>
    <w:multiLevelType w:val="hybridMultilevel"/>
    <w:tmpl w:val="D5E89C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20"/>
  </w:num>
  <w:num w:numId="15">
    <w:abstractNumId w:val="14"/>
  </w:num>
  <w:num w:numId="16">
    <w:abstractNumId w:val="7"/>
  </w:num>
  <w:num w:numId="17">
    <w:abstractNumId w:val="9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17EEE"/>
    <w:rsid w:val="00030FD6"/>
    <w:rsid w:val="00050187"/>
    <w:rsid w:val="000646EF"/>
    <w:rsid w:val="000A7A1B"/>
    <w:rsid w:val="000B0C28"/>
    <w:rsid w:val="000C5336"/>
    <w:rsid w:val="000D3551"/>
    <w:rsid w:val="00106B4B"/>
    <w:rsid w:val="00107675"/>
    <w:rsid w:val="0011646F"/>
    <w:rsid w:val="00124AAE"/>
    <w:rsid w:val="00127351"/>
    <w:rsid w:val="001832C8"/>
    <w:rsid w:val="00185698"/>
    <w:rsid w:val="001A4061"/>
    <w:rsid w:val="001C6C5D"/>
    <w:rsid w:val="001D5991"/>
    <w:rsid w:val="001E1C2A"/>
    <w:rsid w:val="00212D7B"/>
    <w:rsid w:val="00216892"/>
    <w:rsid w:val="00234666"/>
    <w:rsid w:val="00256630"/>
    <w:rsid w:val="002A7285"/>
    <w:rsid w:val="002D13AF"/>
    <w:rsid w:val="002D4A8E"/>
    <w:rsid w:val="002D7E53"/>
    <w:rsid w:val="002E3117"/>
    <w:rsid w:val="002E4983"/>
    <w:rsid w:val="00317223"/>
    <w:rsid w:val="00325C30"/>
    <w:rsid w:val="00353783"/>
    <w:rsid w:val="00363EFF"/>
    <w:rsid w:val="00364EDC"/>
    <w:rsid w:val="00376C3E"/>
    <w:rsid w:val="003834F8"/>
    <w:rsid w:val="003B2923"/>
    <w:rsid w:val="004132B7"/>
    <w:rsid w:val="00425D70"/>
    <w:rsid w:val="00443B17"/>
    <w:rsid w:val="00447267"/>
    <w:rsid w:val="004500D0"/>
    <w:rsid w:val="00462B6D"/>
    <w:rsid w:val="00464187"/>
    <w:rsid w:val="00464B9B"/>
    <w:rsid w:val="0046687E"/>
    <w:rsid w:val="004A3C82"/>
    <w:rsid w:val="004B5636"/>
    <w:rsid w:val="004C24B7"/>
    <w:rsid w:val="004D5999"/>
    <w:rsid w:val="004F4BF3"/>
    <w:rsid w:val="005275E2"/>
    <w:rsid w:val="0054742C"/>
    <w:rsid w:val="0055784B"/>
    <w:rsid w:val="00557BDD"/>
    <w:rsid w:val="00573924"/>
    <w:rsid w:val="00582A27"/>
    <w:rsid w:val="00591273"/>
    <w:rsid w:val="00592DFE"/>
    <w:rsid w:val="005A1C53"/>
    <w:rsid w:val="005B04E5"/>
    <w:rsid w:val="005B0DFF"/>
    <w:rsid w:val="005B1BA9"/>
    <w:rsid w:val="005C0347"/>
    <w:rsid w:val="005C3C64"/>
    <w:rsid w:val="005E0DFA"/>
    <w:rsid w:val="0060038C"/>
    <w:rsid w:val="006061F4"/>
    <w:rsid w:val="00615194"/>
    <w:rsid w:val="0063503E"/>
    <w:rsid w:val="00635691"/>
    <w:rsid w:val="00663AAB"/>
    <w:rsid w:val="006F1540"/>
    <w:rsid w:val="006F177B"/>
    <w:rsid w:val="00724DF2"/>
    <w:rsid w:val="007275E4"/>
    <w:rsid w:val="00742515"/>
    <w:rsid w:val="0074610A"/>
    <w:rsid w:val="007513FE"/>
    <w:rsid w:val="007543BE"/>
    <w:rsid w:val="007B7588"/>
    <w:rsid w:val="007C52F1"/>
    <w:rsid w:val="007D7167"/>
    <w:rsid w:val="00810910"/>
    <w:rsid w:val="0083244A"/>
    <w:rsid w:val="00836DAB"/>
    <w:rsid w:val="00840945"/>
    <w:rsid w:val="00883EC9"/>
    <w:rsid w:val="00896F96"/>
    <w:rsid w:val="008C5B2C"/>
    <w:rsid w:val="008D2EEF"/>
    <w:rsid w:val="00920AC0"/>
    <w:rsid w:val="0093791F"/>
    <w:rsid w:val="00971DB8"/>
    <w:rsid w:val="009A254B"/>
    <w:rsid w:val="009C5EF2"/>
    <w:rsid w:val="009F0DD0"/>
    <w:rsid w:val="00A12C42"/>
    <w:rsid w:val="00A27866"/>
    <w:rsid w:val="00A37C9D"/>
    <w:rsid w:val="00A61582"/>
    <w:rsid w:val="00A86FFB"/>
    <w:rsid w:val="00AB516E"/>
    <w:rsid w:val="00AF1D95"/>
    <w:rsid w:val="00B359FB"/>
    <w:rsid w:val="00B44CEB"/>
    <w:rsid w:val="00B458E6"/>
    <w:rsid w:val="00B613B5"/>
    <w:rsid w:val="00B644DE"/>
    <w:rsid w:val="00B66A95"/>
    <w:rsid w:val="00B804A2"/>
    <w:rsid w:val="00B81206"/>
    <w:rsid w:val="00B91CA6"/>
    <w:rsid w:val="00BA04FD"/>
    <w:rsid w:val="00BD242C"/>
    <w:rsid w:val="00BD6B19"/>
    <w:rsid w:val="00C05E6B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583F"/>
    <w:rsid w:val="00D16B2A"/>
    <w:rsid w:val="00D220C1"/>
    <w:rsid w:val="00D626A6"/>
    <w:rsid w:val="00D664F1"/>
    <w:rsid w:val="00D77FB3"/>
    <w:rsid w:val="00DB3BEB"/>
    <w:rsid w:val="00DD4416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6388D"/>
    <w:rsid w:val="00F80A3F"/>
    <w:rsid w:val="00FC433C"/>
    <w:rsid w:val="00FC7EAA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7F1780A-AD97-49F4-9B72-D651058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6</cp:revision>
  <cp:lastPrinted>2018-05-03T08:10:00Z</cp:lastPrinted>
  <dcterms:created xsi:type="dcterms:W3CDTF">2018-07-12T13:15:00Z</dcterms:created>
  <dcterms:modified xsi:type="dcterms:W3CDTF">2020-07-14T10:17:00Z</dcterms:modified>
</cp:coreProperties>
</file>