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34" w:type="pct"/>
        <w:tblCellMar>
          <w:left w:w="10" w:type="dxa"/>
          <w:right w:w="10" w:type="dxa"/>
        </w:tblCellMar>
        <w:tblLook w:val="0000" w:firstRow="0" w:lastRow="0" w:firstColumn="0" w:lastColumn="0" w:noHBand="0" w:noVBand="0"/>
      </w:tblPr>
      <w:tblGrid>
        <w:gridCol w:w="590"/>
        <w:gridCol w:w="3264"/>
        <w:gridCol w:w="15"/>
        <w:gridCol w:w="5629"/>
      </w:tblGrid>
      <w:tr w:rsidR="00F75548" w:rsidRPr="003A3B73" w14:paraId="709A8790" w14:textId="77777777" w:rsidTr="00FA28F2">
        <w:tc>
          <w:tcPr>
            <w:tcW w:w="311" w:type="pct"/>
            <w:shd w:val="clear" w:color="auto" w:fill="FFFFFF"/>
            <w:tcMar>
              <w:top w:w="0" w:type="dxa"/>
              <w:left w:w="108" w:type="dxa"/>
              <w:bottom w:w="0" w:type="dxa"/>
              <w:right w:w="108" w:type="dxa"/>
            </w:tcMar>
          </w:tcPr>
          <w:p w14:paraId="18B70F6A" w14:textId="77777777" w:rsidR="00F75548" w:rsidRPr="005F770E"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41D702FD" w14:textId="1AAB7FBE" w:rsidR="00F75548" w:rsidRPr="003A3B73" w:rsidRDefault="009F20E4" w:rsidP="00F442F1">
            <w:pPr>
              <w:spacing w:before="60" w:after="60" w:line="240" w:lineRule="auto"/>
              <w:jc w:val="center"/>
              <w:rPr>
                <w:rFonts w:ascii="Times New Roman" w:hAnsi="Times New Roman" w:cs="Times New Roman"/>
                <w:b/>
                <w:sz w:val="24"/>
                <w:szCs w:val="24"/>
                <w:lang w:val="en-GB"/>
              </w:rPr>
            </w:pPr>
            <w:r w:rsidRPr="009F20E4">
              <w:rPr>
                <w:rFonts w:ascii="Times New Roman" w:hAnsi="Times New Roman" w:cs="Times New Roman"/>
                <w:b/>
                <w:sz w:val="24"/>
                <w:szCs w:val="24"/>
                <w:lang w:val="en-GB"/>
              </w:rPr>
              <w:t xml:space="preserve">Procurement for construction of multi-family housing within the ninth subproject of the Regional Housing Program in the Republic of Serbia at the locations: Novi Sad, </w:t>
            </w:r>
            <w:proofErr w:type="spellStart"/>
            <w:r w:rsidRPr="009F20E4">
              <w:rPr>
                <w:rFonts w:ascii="Times New Roman" w:hAnsi="Times New Roman" w:cs="Times New Roman"/>
                <w:b/>
                <w:sz w:val="24"/>
                <w:szCs w:val="24"/>
                <w:lang w:val="en-GB"/>
              </w:rPr>
              <w:t>Vrbas</w:t>
            </w:r>
            <w:proofErr w:type="spellEnd"/>
            <w:r w:rsidRPr="009F20E4">
              <w:rPr>
                <w:rFonts w:ascii="Times New Roman" w:hAnsi="Times New Roman" w:cs="Times New Roman"/>
                <w:b/>
                <w:sz w:val="24"/>
                <w:szCs w:val="24"/>
                <w:lang w:val="en-GB"/>
              </w:rPr>
              <w:t xml:space="preserve"> and </w:t>
            </w:r>
            <w:proofErr w:type="spellStart"/>
            <w:r w:rsidRPr="009F20E4">
              <w:rPr>
                <w:rFonts w:ascii="Times New Roman" w:hAnsi="Times New Roman" w:cs="Times New Roman"/>
                <w:b/>
                <w:sz w:val="24"/>
                <w:szCs w:val="24"/>
                <w:lang w:val="en-GB"/>
              </w:rPr>
              <w:t>Pancevo</w:t>
            </w:r>
            <w:proofErr w:type="spellEnd"/>
          </w:p>
        </w:tc>
      </w:tr>
      <w:tr w:rsidR="00F75548" w:rsidRPr="003A3B73" w14:paraId="10BF9ADD" w14:textId="77777777" w:rsidTr="00FA28F2">
        <w:tc>
          <w:tcPr>
            <w:tcW w:w="311" w:type="pct"/>
            <w:shd w:val="clear" w:color="auto" w:fill="FFFFFF"/>
            <w:tcMar>
              <w:top w:w="0" w:type="dxa"/>
              <w:left w:w="108" w:type="dxa"/>
              <w:bottom w:w="0" w:type="dxa"/>
              <w:right w:w="108" w:type="dxa"/>
            </w:tcMar>
          </w:tcPr>
          <w:p w14:paraId="734F8F7A" w14:textId="77777777" w:rsidR="00F75548" w:rsidRPr="003A3B73"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4E403860" w14:textId="795B5D48" w:rsidR="00F75548" w:rsidRPr="003A3B73" w:rsidRDefault="00156946" w:rsidP="00F75548">
            <w:pPr>
              <w:spacing w:before="60" w:after="60" w:line="240" w:lineRule="auto"/>
              <w:jc w:val="center"/>
              <w:rPr>
                <w:rFonts w:ascii="Times New Roman" w:hAnsi="Times New Roman" w:cs="Times New Roman"/>
                <w:sz w:val="24"/>
                <w:szCs w:val="24"/>
                <w:lang w:val="en-GB"/>
              </w:rPr>
            </w:pPr>
            <w:r w:rsidRPr="003A3B73">
              <w:rPr>
                <w:rFonts w:ascii="Times New Roman" w:hAnsi="Times New Roman" w:cs="Times New Roman"/>
                <w:b/>
                <w:sz w:val="24"/>
                <w:szCs w:val="24"/>
                <w:lang w:val="en-GB"/>
              </w:rPr>
              <w:t xml:space="preserve">TENDER </w:t>
            </w:r>
            <w:r w:rsidR="00F75548" w:rsidRPr="003A3B73">
              <w:rPr>
                <w:rFonts w:ascii="Times New Roman" w:hAnsi="Times New Roman" w:cs="Times New Roman"/>
                <w:b/>
                <w:sz w:val="24"/>
                <w:szCs w:val="24"/>
                <w:lang w:val="en-GB"/>
              </w:rPr>
              <w:t xml:space="preserve">NOTICE – </w:t>
            </w:r>
            <w:r w:rsidR="00037EA9" w:rsidRPr="003A3B73">
              <w:rPr>
                <w:rFonts w:ascii="Times New Roman" w:hAnsi="Times New Roman" w:cs="Times New Roman"/>
                <w:b/>
                <w:sz w:val="24"/>
                <w:szCs w:val="24"/>
                <w:lang w:val="en-GB"/>
              </w:rPr>
              <w:t xml:space="preserve">International </w:t>
            </w:r>
            <w:r w:rsidR="00F75548" w:rsidRPr="003A3B73">
              <w:rPr>
                <w:rFonts w:ascii="Times New Roman" w:hAnsi="Times New Roman" w:cs="Times New Roman"/>
                <w:b/>
                <w:sz w:val="24"/>
                <w:szCs w:val="24"/>
                <w:lang w:val="en-GB"/>
              </w:rPr>
              <w:t>Open procedure</w:t>
            </w:r>
          </w:p>
        </w:tc>
      </w:tr>
      <w:tr w:rsidR="002D6E25" w:rsidRPr="003A3B73" w14:paraId="0B60CBCE" w14:textId="77777777" w:rsidTr="00FA28F2">
        <w:trPr>
          <w:trHeight w:val="410"/>
        </w:trPr>
        <w:tc>
          <w:tcPr>
            <w:tcW w:w="311" w:type="pct"/>
            <w:shd w:val="clear" w:color="auto" w:fill="FFFFFF"/>
            <w:tcMar>
              <w:top w:w="0" w:type="dxa"/>
              <w:left w:w="108" w:type="dxa"/>
              <w:bottom w:w="0" w:type="dxa"/>
              <w:right w:w="108" w:type="dxa"/>
            </w:tcMar>
          </w:tcPr>
          <w:p w14:paraId="21A4B78D" w14:textId="77777777" w:rsidR="002D6E25" w:rsidRPr="003A3B73"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47225697" w14:textId="77777777" w:rsidR="002D6E25" w:rsidRPr="003A3B73" w:rsidRDefault="002D6E25" w:rsidP="00083F35">
            <w:pPr>
              <w:spacing w:before="60" w:after="60" w:line="240" w:lineRule="auto"/>
              <w:rPr>
                <w:rFonts w:ascii="Times New Roman" w:hAnsi="Times New Roman" w:cs="Times New Roman"/>
                <w:sz w:val="24"/>
                <w:szCs w:val="24"/>
                <w:lang w:val="en-GB"/>
              </w:rPr>
            </w:pPr>
          </w:p>
        </w:tc>
      </w:tr>
      <w:tr w:rsidR="002D6E25" w:rsidRPr="003A3B73" w14:paraId="0E113D1E" w14:textId="77777777" w:rsidTr="00FA28F2">
        <w:trPr>
          <w:trHeight w:val="430"/>
        </w:trPr>
        <w:tc>
          <w:tcPr>
            <w:tcW w:w="311" w:type="pct"/>
            <w:shd w:val="clear" w:color="auto" w:fill="FFFFFF"/>
            <w:tcMar>
              <w:top w:w="0" w:type="dxa"/>
              <w:left w:w="108" w:type="dxa"/>
              <w:bottom w:w="0" w:type="dxa"/>
              <w:right w:w="108" w:type="dxa"/>
            </w:tcMar>
          </w:tcPr>
          <w:p w14:paraId="1B77555C"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26" w:type="pct"/>
            <w:gridSpan w:val="2"/>
            <w:shd w:val="clear" w:color="auto" w:fill="FFFFFF"/>
            <w:tcMar>
              <w:top w:w="0" w:type="dxa"/>
              <w:left w:w="108" w:type="dxa"/>
              <w:bottom w:w="0" w:type="dxa"/>
              <w:right w:w="108" w:type="dxa"/>
            </w:tcMar>
          </w:tcPr>
          <w:p w14:paraId="4C1274C0" w14:textId="29F7FC92" w:rsidR="002D6E25" w:rsidRPr="003A3B73" w:rsidRDefault="00F75548" w:rsidP="003779ED">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Publication reference</w:t>
            </w:r>
            <w:r w:rsidR="004511C2" w:rsidRPr="003A3B73">
              <w:rPr>
                <w:rFonts w:ascii="Times New Roman" w:hAnsi="Times New Roman" w:cs="Times New Roman"/>
                <w:sz w:val="24"/>
                <w:szCs w:val="24"/>
                <w:lang w:val="en-GB"/>
              </w:rPr>
              <w:t>:</w:t>
            </w:r>
          </w:p>
        </w:tc>
        <w:tc>
          <w:tcPr>
            <w:tcW w:w="2963" w:type="pct"/>
            <w:shd w:val="clear" w:color="auto" w:fill="C6D9F1"/>
            <w:tcMar>
              <w:top w:w="0" w:type="dxa"/>
              <w:left w:w="108" w:type="dxa"/>
              <w:bottom w:w="0" w:type="dxa"/>
              <w:right w:w="108" w:type="dxa"/>
            </w:tcMar>
          </w:tcPr>
          <w:p w14:paraId="7B15CAC7" w14:textId="353C532A" w:rsidR="002D6E25" w:rsidRPr="003A3B73" w:rsidRDefault="004D140B" w:rsidP="001222F0">
            <w:pPr>
              <w:spacing w:before="60" w:after="60" w:line="240" w:lineRule="auto"/>
              <w:rPr>
                <w:rFonts w:ascii="Times New Roman" w:hAnsi="Times New Roman" w:cs="Times New Roman"/>
                <w:b/>
                <w:sz w:val="24"/>
                <w:szCs w:val="24"/>
                <w:lang w:val="en-GB"/>
              </w:rPr>
            </w:pPr>
            <w:r>
              <w:rPr>
                <w:rFonts w:ascii="Times New Roman" w:hAnsi="Times New Roman" w:cs="Times New Roman"/>
                <w:sz w:val="24"/>
                <w:szCs w:val="24"/>
                <w:lang w:val="en-GB"/>
              </w:rPr>
              <w:t>RHP-W9</w:t>
            </w:r>
            <w:r w:rsidR="00037EA9" w:rsidRPr="003A3B73">
              <w:rPr>
                <w:rFonts w:ascii="Times New Roman" w:hAnsi="Times New Roman" w:cs="Times New Roman"/>
                <w:sz w:val="24"/>
                <w:szCs w:val="24"/>
                <w:lang w:val="en-GB"/>
              </w:rPr>
              <w:t>-АB-CW/IOP</w:t>
            </w:r>
            <w:r w:rsidR="009F20E4">
              <w:rPr>
                <w:rFonts w:ascii="Times New Roman" w:hAnsi="Times New Roman" w:cs="Times New Roman"/>
                <w:sz w:val="24"/>
                <w:szCs w:val="24"/>
                <w:lang w:val="en-GB"/>
              </w:rPr>
              <w:t>2</w:t>
            </w:r>
            <w:r w:rsidR="00037EA9" w:rsidRPr="003A3B73">
              <w:rPr>
                <w:rFonts w:ascii="Times New Roman" w:hAnsi="Times New Roman" w:cs="Times New Roman"/>
                <w:sz w:val="24"/>
                <w:szCs w:val="24"/>
                <w:lang w:val="en-GB"/>
              </w:rPr>
              <w:t>-</w:t>
            </w:r>
            <w:r w:rsidR="00023723">
              <w:rPr>
                <w:rFonts w:ascii="Times New Roman" w:hAnsi="Times New Roman" w:cs="Times New Roman"/>
                <w:sz w:val="24"/>
                <w:szCs w:val="24"/>
                <w:lang w:val="en-GB"/>
              </w:rPr>
              <w:t>2020</w:t>
            </w:r>
          </w:p>
        </w:tc>
      </w:tr>
      <w:tr w:rsidR="002D6E25" w:rsidRPr="003A3B73" w14:paraId="1E08552F" w14:textId="77777777" w:rsidTr="00FA28F2">
        <w:trPr>
          <w:trHeight w:val="280"/>
        </w:trPr>
        <w:tc>
          <w:tcPr>
            <w:tcW w:w="311" w:type="pct"/>
            <w:shd w:val="clear" w:color="auto" w:fill="FFFFFF"/>
            <w:tcMar>
              <w:top w:w="0" w:type="dxa"/>
              <w:left w:w="108" w:type="dxa"/>
              <w:bottom w:w="0" w:type="dxa"/>
              <w:right w:w="108" w:type="dxa"/>
            </w:tcMar>
          </w:tcPr>
          <w:p w14:paraId="46624F16"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4480D8C2"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77DC04F4" w14:textId="77777777" w:rsidTr="00FA28F2">
        <w:trPr>
          <w:trHeight w:val="2882"/>
        </w:trPr>
        <w:tc>
          <w:tcPr>
            <w:tcW w:w="311" w:type="pct"/>
            <w:shd w:val="clear" w:color="auto" w:fill="FFFFFF"/>
            <w:tcMar>
              <w:top w:w="0" w:type="dxa"/>
              <w:left w:w="108" w:type="dxa"/>
              <w:bottom w:w="0" w:type="dxa"/>
              <w:right w:w="108" w:type="dxa"/>
            </w:tcMar>
          </w:tcPr>
          <w:p w14:paraId="40B8A339"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26" w:type="pct"/>
            <w:gridSpan w:val="2"/>
            <w:shd w:val="clear" w:color="auto" w:fill="FFFFFF"/>
            <w:tcMar>
              <w:top w:w="0" w:type="dxa"/>
              <w:left w:w="108" w:type="dxa"/>
              <w:bottom w:w="0" w:type="dxa"/>
              <w:right w:w="108" w:type="dxa"/>
            </w:tcMar>
          </w:tcPr>
          <w:p w14:paraId="065A8F90" w14:textId="0810EC7D" w:rsidR="002D6E25" w:rsidRPr="003A3B73" w:rsidRDefault="00F75548" w:rsidP="003779ED">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Programme and Financing</w:t>
            </w:r>
            <w:r w:rsidR="004511C2" w:rsidRPr="003A3B73">
              <w:rPr>
                <w:rFonts w:ascii="Times New Roman" w:hAnsi="Times New Roman" w:cs="Times New Roman"/>
                <w:sz w:val="24"/>
                <w:szCs w:val="24"/>
                <w:lang w:val="en-GB"/>
              </w:rPr>
              <w:t>:</w:t>
            </w:r>
          </w:p>
        </w:tc>
        <w:tc>
          <w:tcPr>
            <w:tcW w:w="2963" w:type="pct"/>
            <w:shd w:val="clear" w:color="auto" w:fill="C6D9F1"/>
            <w:tcMar>
              <w:top w:w="0" w:type="dxa"/>
              <w:left w:w="108" w:type="dxa"/>
              <w:bottom w:w="0" w:type="dxa"/>
              <w:right w:w="108" w:type="dxa"/>
            </w:tcMar>
          </w:tcPr>
          <w:p w14:paraId="17DCD1D0" w14:textId="29B842A2" w:rsidR="00F75548" w:rsidRPr="003A3B73" w:rsidRDefault="00F75548" w:rsidP="00F75548">
            <w:pPr>
              <w:tabs>
                <w:tab w:val="clear" w:pos="720"/>
                <w:tab w:val="left" w:pos="459"/>
              </w:tabs>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Programme: Joint Regional Programme on Permanent Solutions for refugees and displaced persons (Regional Housing </w:t>
            </w:r>
            <w:r w:rsidR="005F770E" w:rsidRPr="003A3B73">
              <w:rPr>
                <w:rFonts w:ascii="Times New Roman" w:hAnsi="Times New Roman" w:cs="Times New Roman"/>
                <w:sz w:val="24"/>
                <w:szCs w:val="24"/>
                <w:lang w:val="en-GB"/>
              </w:rPr>
              <w:t>Programme</w:t>
            </w:r>
            <w:r w:rsidRPr="003A3B73">
              <w:rPr>
                <w:rFonts w:ascii="Times New Roman" w:hAnsi="Times New Roman" w:cs="Times New Roman"/>
                <w:sz w:val="24"/>
                <w:szCs w:val="24"/>
                <w:lang w:val="en-GB"/>
              </w:rPr>
              <w:t xml:space="preserve"> - RHP)/Country Housing Programme of the Republic of Serbia.</w:t>
            </w:r>
          </w:p>
          <w:p w14:paraId="742984E4" w14:textId="0E851903" w:rsidR="002D6E25" w:rsidRPr="003A3B73" w:rsidRDefault="00F75548" w:rsidP="004D140B">
            <w:pPr>
              <w:tabs>
                <w:tab w:val="clear" w:pos="720"/>
                <w:tab w:val="left" w:pos="459"/>
              </w:tabs>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Financing: Framework Agreement between the Council of Europe Development Bank and the Republic of Serbia in relation to the Regional Housing Programme signed on 25 October 2013 and Grant Agreement between the Council of Europe Development Bank and the Republic of Serbia in relation to the implementation of the </w:t>
            </w:r>
            <w:r w:rsidR="004D140B">
              <w:rPr>
                <w:rFonts w:ascii="Times New Roman" w:hAnsi="Times New Roman" w:cs="Times New Roman"/>
                <w:sz w:val="24"/>
                <w:szCs w:val="24"/>
                <w:lang w:val="en-GB"/>
              </w:rPr>
              <w:t>ninth</w:t>
            </w:r>
            <w:r w:rsidRPr="003A3B73">
              <w:rPr>
                <w:rFonts w:ascii="Times New Roman" w:hAnsi="Times New Roman" w:cs="Times New Roman"/>
                <w:sz w:val="24"/>
                <w:szCs w:val="24"/>
                <w:lang w:val="en-GB"/>
              </w:rPr>
              <w:t xml:space="preserve"> subproject of the Reg</w:t>
            </w:r>
            <w:r w:rsidR="004D140B">
              <w:rPr>
                <w:rFonts w:ascii="Times New Roman" w:hAnsi="Times New Roman" w:cs="Times New Roman"/>
                <w:sz w:val="24"/>
                <w:szCs w:val="24"/>
                <w:lang w:val="en-GB"/>
              </w:rPr>
              <w:t>ional Housing Programme dated 07.03.2019</w:t>
            </w:r>
            <w:r w:rsidR="00F5074E" w:rsidRPr="003A3B73">
              <w:rPr>
                <w:rFonts w:ascii="Times New Roman" w:hAnsi="Times New Roman" w:cs="Times New Roman"/>
                <w:sz w:val="24"/>
                <w:szCs w:val="24"/>
                <w:lang w:val="en-GB"/>
              </w:rPr>
              <w:t>.</w:t>
            </w:r>
            <w:r w:rsidR="00261625" w:rsidRPr="003A3B73">
              <w:rPr>
                <w:rFonts w:ascii="Times New Roman" w:hAnsi="Times New Roman" w:cs="Times New Roman"/>
                <w:sz w:val="24"/>
                <w:szCs w:val="24"/>
                <w:lang w:val="en-GB"/>
              </w:rPr>
              <w:t xml:space="preserve"> </w:t>
            </w:r>
          </w:p>
        </w:tc>
      </w:tr>
      <w:tr w:rsidR="002D6E25" w:rsidRPr="003A3B73" w14:paraId="1F73D1EA" w14:textId="77777777" w:rsidTr="00FA28F2">
        <w:trPr>
          <w:trHeight w:val="454"/>
        </w:trPr>
        <w:tc>
          <w:tcPr>
            <w:tcW w:w="311" w:type="pct"/>
            <w:shd w:val="clear" w:color="auto" w:fill="FFFFFF"/>
            <w:tcMar>
              <w:top w:w="0" w:type="dxa"/>
              <w:left w:w="108" w:type="dxa"/>
              <w:bottom w:w="0" w:type="dxa"/>
              <w:right w:w="108" w:type="dxa"/>
            </w:tcMar>
          </w:tcPr>
          <w:p w14:paraId="4EB6F4A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0BDC59F5" w14:textId="77777777" w:rsidR="00501D88" w:rsidRPr="003A3B73" w:rsidRDefault="00501D88" w:rsidP="009C6217">
            <w:pPr>
              <w:spacing w:before="60" w:after="60" w:line="240" w:lineRule="auto"/>
              <w:rPr>
                <w:rFonts w:ascii="Times New Roman" w:hAnsi="Times New Roman" w:cs="Times New Roman"/>
                <w:sz w:val="24"/>
                <w:szCs w:val="24"/>
                <w:lang w:val="en-GB"/>
              </w:rPr>
            </w:pPr>
          </w:p>
        </w:tc>
      </w:tr>
      <w:tr w:rsidR="002D6E25" w:rsidRPr="003A3B73" w14:paraId="734D13E3" w14:textId="77777777" w:rsidTr="00FA28F2">
        <w:trPr>
          <w:trHeight w:val="424"/>
        </w:trPr>
        <w:tc>
          <w:tcPr>
            <w:tcW w:w="311" w:type="pct"/>
            <w:shd w:val="clear" w:color="auto" w:fill="FFFFFF"/>
            <w:tcMar>
              <w:top w:w="0" w:type="dxa"/>
              <w:left w:w="108" w:type="dxa"/>
              <w:bottom w:w="0" w:type="dxa"/>
              <w:right w:w="108" w:type="dxa"/>
            </w:tcMar>
          </w:tcPr>
          <w:p w14:paraId="3948C38B"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26" w:type="pct"/>
            <w:gridSpan w:val="2"/>
            <w:shd w:val="clear" w:color="auto" w:fill="FFFFFF"/>
            <w:tcMar>
              <w:top w:w="0" w:type="dxa"/>
              <w:left w:w="108" w:type="dxa"/>
              <w:bottom w:w="0" w:type="dxa"/>
              <w:right w:w="108" w:type="dxa"/>
            </w:tcMar>
          </w:tcPr>
          <w:p w14:paraId="3782748D" w14:textId="33A8CB93" w:rsidR="002D6E25" w:rsidRPr="003A3B73" w:rsidRDefault="00103142" w:rsidP="00F520A4">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Name of the Contracting Authority</w:t>
            </w:r>
            <w:r w:rsidR="004511C2" w:rsidRPr="003A3B73">
              <w:rPr>
                <w:rFonts w:ascii="Times New Roman" w:hAnsi="Times New Roman" w:cs="Times New Roman"/>
                <w:sz w:val="24"/>
                <w:szCs w:val="24"/>
                <w:lang w:val="en-GB"/>
              </w:rPr>
              <w:t>:</w:t>
            </w:r>
          </w:p>
        </w:tc>
        <w:tc>
          <w:tcPr>
            <w:tcW w:w="2963" w:type="pct"/>
            <w:shd w:val="clear" w:color="auto" w:fill="C6D9F1"/>
            <w:tcMar>
              <w:top w:w="0" w:type="dxa"/>
              <w:left w:w="108" w:type="dxa"/>
              <w:bottom w:w="0" w:type="dxa"/>
              <w:right w:w="108" w:type="dxa"/>
            </w:tcMar>
          </w:tcPr>
          <w:p w14:paraId="2E61E114" w14:textId="77777777" w:rsidR="00554409" w:rsidRPr="00554409" w:rsidRDefault="00554409" w:rsidP="00554409">
            <w:pPr>
              <w:spacing w:after="0"/>
              <w:rPr>
                <w:rFonts w:ascii="Times New Roman" w:hAnsi="Times New Roman" w:cs="Times New Roman"/>
                <w:noProof/>
                <w:sz w:val="24"/>
                <w:szCs w:val="24"/>
              </w:rPr>
            </w:pPr>
            <w:r w:rsidRPr="00554409">
              <w:rPr>
                <w:rFonts w:ascii="Times New Roman" w:hAnsi="Times New Roman" w:cs="Times New Roman"/>
                <w:noProof/>
                <w:sz w:val="24"/>
                <w:szCs w:val="24"/>
              </w:rPr>
              <w:t>Public Sector Project Implementation Unit</w:t>
            </w:r>
          </w:p>
          <w:p w14:paraId="22BE22E3" w14:textId="08408603" w:rsidR="002A4BFD" w:rsidRPr="003A3B73" w:rsidRDefault="002A4BFD" w:rsidP="001222F0">
            <w:pPr>
              <w:spacing w:before="60" w:after="60" w:line="240" w:lineRule="auto"/>
              <w:rPr>
                <w:rFonts w:ascii="Times New Roman" w:hAnsi="Times New Roman" w:cs="Times New Roman"/>
                <w:sz w:val="24"/>
                <w:szCs w:val="24"/>
                <w:lang w:val="en-GB"/>
              </w:rPr>
            </w:pPr>
          </w:p>
        </w:tc>
      </w:tr>
      <w:tr w:rsidR="002D6E25" w:rsidRPr="003A3B73" w14:paraId="3F70AAEB" w14:textId="77777777" w:rsidTr="00FA28F2">
        <w:trPr>
          <w:trHeight w:val="232"/>
        </w:trPr>
        <w:tc>
          <w:tcPr>
            <w:tcW w:w="311" w:type="pct"/>
            <w:shd w:val="clear" w:color="auto" w:fill="FFFFFF"/>
            <w:tcMar>
              <w:top w:w="0" w:type="dxa"/>
              <w:left w:w="108" w:type="dxa"/>
              <w:bottom w:w="0" w:type="dxa"/>
              <w:right w:w="108" w:type="dxa"/>
            </w:tcMar>
          </w:tcPr>
          <w:p w14:paraId="6F00D8DC"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381602A8" w14:textId="77777777" w:rsidR="00501D88" w:rsidRPr="003A3B73" w:rsidRDefault="00501D88" w:rsidP="009C6217">
            <w:pPr>
              <w:spacing w:before="60" w:after="60" w:line="240" w:lineRule="auto"/>
              <w:rPr>
                <w:rFonts w:ascii="Times New Roman" w:hAnsi="Times New Roman" w:cs="Times New Roman"/>
                <w:sz w:val="24"/>
                <w:szCs w:val="24"/>
                <w:lang w:val="en-GB"/>
              </w:rPr>
            </w:pPr>
          </w:p>
        </w:tc>
      </w:tr>
      <w:tr w:rsidR="002D6E25" w:rsidRPr="003A3B73" w14:paraId="2644FEB8" w14:textId="77777777" w:rsidTr="00FA28F2">
        <w:trPr>
          <w:trHeight w:val="363"/>
        </w:trPr>
        <w:tc>
          <w:tcPr>
            <w:tcW w:w="311" w:type="pct"/>
            <w:shd w:val="clear" w:color="auto" w:fill="FFFFFF"/>
            <w:tcMar>
              <w:top w:w="0" w:type="dxa"/>
              <w:left w:w="108" w:type="dxa"/>
              <w:bottom w:w="0" w:type="dxa"/>
              <w:right w:w="108" w:type="dxa"/>
            </w:tcMar>
          </w:tcPr>
          <w:p w14:paraId="6059C293"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26" w:type="pct"/>
            <w:gridSpan w:val="2"/>
            <w:shd w:val="clear" w:color="auto" w:fill="FFFFFF"/>
            <w:tcMar>
              <w:top w:w="0" w:type="dxa"/>
              <w:left w:w="108" w:type="dxa"/>
              <w:bottom w:w="0" w:type="dxa"/>
              <w:right w:w="108" w:type="dxa"/>
            </w:tcMar>
          </w:tcPr>
          <w:p w14:paraId="6E8A6CFF" w14:textId="3BBBD706" w:rsidR="002D6E25" w:rsidRPr="003A3B73" w:rsidRDefault="00103142" w:rsidP="00F520A4">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Address of the Contracting Authority</w:t>
            </w:r>
            <w:r w:rsidR="004511C2" w:rsidRPr="003A3B73">
              <w:rPr>
                <w:rFonts w:ascii="Times New Roman" w:hAnsi="Times New Roman" w:cs="Times New Roman"/>
                <w:sz w:val="24"/>
                <w:szCs w:val="24"/>
                <w:lang w:val="en-GB"/>
              </w:rPr>
              <w:t>:</w:t>
            </w:r>
          </w:p>
        </w:tc>
        <w:tc>
          <w:tcPr>
            <w:tcW w:w="2963" w:type="pct"/>
            <w:shd w:val="clear" w:color="auto" w:fill="C6D9F1"/>
            <w:tcMar>
              <w:top w:w="0" w:type="dxa"/>
              <w:left w:w="108" w:type="dxa"/>
              <w:bottom w:w="0" w:type="dxa"/>
              <w:right w:w="108" w:type="dxa"/>
            </w:tcMar>
          </w:tcPr>
          <w:p w14:paraId="4F846C8B" w14:textId="0860A6AF" w:rsidR="00294D09" w:rsidRPr="003A3B73" w:rsidRDefault="00F36ED4" w:rsidP="00103142">
            <w:pPr>
              <w:spacing w:before="60" w:after="60" w:line="240" w:lineRule="auto"/>
              <w:rPr>
                <w:rFonts w:ascii="Times New Roman" w:hAnsi="Times New Roman" w:cs="Times New Roman"/>
                <w:sz w:val="24"/>
                <w:szCs w:val="24"/>
                <w:lang w:val="en-GB"/>
              </w:rPr>
            </w:pPr>
            <w:proofErr w:type="spellStart"/>
            <w:r w:rsidRPr="003A3B73">
              <w:rPr>
                <w:rFonts w:ascii="Times New Roman" w:hAnsi="Times New Roman" w:cs="Times New Roman"/>
                <w:sz w:val="24"/>
                <w:szCs w:val="24"/>
                <w:lang w:val="en-GB"/>
              </w:rPr>
              <w:t>Nemanjina</w:t>
            </w:r>
            <w:proofErr w:type="spellEnd"/>
            <w:r w:rsidRPr="003A3B73">
              <w:rPr>
                <w:rFonts w:ascii="Times New Roman" w:hAnsi="Times New Roman" w:cs="Times New Roman"/>
                <w:sz w:val="24"/>
                <w:szCs w:val="24"/>
                <w:lang w:val="en-GB"/>
              </w:rPr>
              <w:t xml:space="preserve"> 22-26, 11000 </w:t>
            </w:r>
            <w:r w:rsidR="00103142" w:rsidRPr="003A3B73">
              <w:rPr>
                <w:rFonts w:ascii="Times New Roman" w:hAnsi="Times New Roman" w:cs="Times New Roman"/>
                <w:sz w:val="24"/>
                <w:szCs w:val="24"/>
                <w:lang w:val="en-GB"/>
              </w:rPr>
              <w:t>Belgrade</w:t>
            </w:r>
            <w:r w:rsidRPr="003A3B73">
              <w:rPr>
                <w:rFonts w:ascii="Times New Roman" w:hAnsi="Times New Roman" w:cs="Times New Roman"/>
                <w:sz w:val="24"/>
                <w:szCs w:val="24"/>
                <w:lang w:val="en-GB"/>
              </w:rPr>
              <w:t xml:space="preserve">, </w:t>
            </w:r>
            <w:r w:rsidR="00103142" w:rsidRPr="003A3B73">
              <w:rPr>
                <w:rFonts w:ascii="Times New Roman" w:hAnsi="Times New Roman" w:cs="Times New Roman"/>
                <w:sz w:val="24"/>
                <w:szCs w:val="24"/>
                <w:lang w:val="en-GB"/>
              </w:rPr>
              <w:t>Serbia</w:t>
            </w:r>
          </w:p>
        </w:tc>
      </w:tr>
      <w:tr w:rsidR="002D6E25" w:rsidRPr="003A3B73" w14:paraId="1A90366F" w14:textId="77777777" w:rsidTr="00FA28F2">
        <w:trPr>
          <w:trHeight w:val="188"/>
        </w:trPr>
        <w:tc>
          <w:tcPr>
            <w:tcW w:w="311" w:type="pct"/>
            <w:shd w:val="clear" w:color="auto" w:fill="FFFFFF"/>
            <w:tcMar>
              <w:top w:w="0" w:type="dxa"/>
              <w:left w:w="108" w:type="dxa"/>
              <w:bottom w:w="0" w:type="dxa"/>
              <w:right w:w="108" w:type="dxa"/>
            </w:tcMar>
          </w:tcPr>
          <w:p w14:paraId="3FEC93BD"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71EC8AA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738FAB9E" w14:textId="77777777" w:rsidTr="00FA28F2">
        <w:trPr>
          <w:trHeight w:val="507"/>
        </w:trPr>
        <w:tc>
          <w:tcPr>
            <w:tcW w:w="311" w:type="pct"/>
            <w:shd w:val="clear" w:color="auto" w:fill="FFFFFF"/>
            <w:tcMar>
              <w:top w:w="0" w:type="dxa"/>
              <w:left w:w="108" w:type="dxa"/>
              <w:bottom w:w="0" w:type="dxa"/>
              <w:right w:w="108" w:type="dxa"/>
            </w:tcMar>
          </w:tcPr>
          <w:p w14:paraId="29850D47"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26" w:type="pct"/>
            <w:gridSpan w:val="2"/>
            <w:shd w:val="clear" w:color="auto" w:fill="FFFFFF"/>
            <w:tcMar>
              <w:top w:w="0" w:type="dxa"/>
              <w:left w:w="108" w:type="dxa"/>
              <w:bottom w:w="0" w:type="dxa"/>
              <w:right w:w="108" w:type="dxa"/>
            </w:tcMar>
          </w:tcPr>
          <w:p w14:paraId="705B252C" w14:textId="431A2ABE" w:rsidR="002D6E25" w:rsidRPr="003A3B73" w:rsidRDefault="00103142" w:rsidP="00F520A4">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Web address of the Contracting Authority</w:t>
            </w:r>
            <w:r w:rsidR="004511C2" w:rsidRPr="003A3B73">
              <w:rPr>
                <w:rFonts w:ascii="Times New Roman" w:hAnsi="Times New Roman" w:cs="Times New Roman"/>
                <w:sz w:val="24"/>
                <w:szCs w:val="24"/>
                <w:lang w:val="en-GB"/>
              </w:rPr>
              <w:t>:</w:t>
            </w:r>
          </w:p>
        </w:tc>
        <w:tc>
          <w:tcPr>
            <w:tcW w:w="2963" w:type="pct"/>
            <w:shd w:val="clear" w:color="auto" w:fill="C6D9F1"/>
            <w:tcMar>
              <w:top w:w="0" w:type="dxa"/>
              <w:left w:w="108" w:type="dxa"/>
              <w:bottom w:w="0" w:type="dxa"/>
              <w:right w:w="108" w:type="dxa"/>
            </w:tcMar>
          </w:tcPr>
          <w:p w14:paraId="73ADF4A7" w14:textId="77777777" w:rsidR="002D6E25" w:rsidRPr="003A3B73" w:rsidRDefault="00445022" w:rsidP="009C6217">
            <w:pPr>
              <w:spacing w:before="60" w:after="60" w:line="240" w:lineRule="auto"/>
              <w:rPr>
                <w:rFonts w:ascii="Times New Roman" w:hAnsi="Times New Roman" w:cs="Times New Roman"/>
                <w:sz w:val="24"/>
                <w:szCs w:val="24"/>
                <w:lang w:val="en-GB"/>
              </w:rPr>
            </w:pPr>
            <w:hyperlink r:id="rId8" w:history="1">
              <w:r w:rsidR="00A92081" w:rsidRPr="003A3B73">
                <w:rPr>
                  <w:rStyle w:val="Hyperlink"/>
                  <w:rFonts w:ascii="Times New Roman" w:hAnsi="Times New Roman" w:cs="Times New Roman"/>
                  <w:sz w:val="24"/>
                  <w:szCs w:val="24"/>
                  <w:lang w:val="en-GB"/>
                </w:rPr>
                <w:t>www.piu.rs</w:t>
              </w:r>
            </w:hyperlink>
          </w:p>
        </w:tc>
      </w:tr>
      <w:tr w:rsidR="002D6E25" w:rsidRPr="003A3B73" w14:paraId="2E8B35BF" w14:textId="77777777" w:rsidTr="00FA28F2">
        <w:trPr>
          <w:trHeight w:val="130"/>
        </w:trPr>
        <w:tc>
          <w:tcPr>
            <w:tcW w:w="311" w:type="pct"/>
            <w:shd w:val="clear" w:color="auto" w:fill="FFFFFF"/>
            <w:tcMar>
              <w:top w:w="0" w:type="dxa"/>
              <w:left w:w="108" w:type="dxa"/>
              <w:bottom w:w="0" w:type="dxa"/>
              <w:right w:w="108" w:type="dxa"/>
            </w:tcMar>
          </w:tcPr>
          <w:p w14:paraId="69B7BD77"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48EC5BD1" w14:textId="77777777" w:rsidR="002D6E25" w:rsidRPr="003A3B73" w:rsidRDefault="002D6E25" w:rsidP="00997B6B">
            <w:pPr>
              <w:spacing w:before="60" w:after="60" w:line="240" w:lineRule="auto"/>
              <w:rPr>
                <w:rFonts w:ascii="Times New Roman" w:hAnsi="Times New Roman" w:cs="Times New Roman"/>
                <w:sz w:val="24"/>
                <w:szCs w:val="24"/>
                <w:lang w:val="en-GB"/>
              </w:rPr>
            </w:pPr>
          </w:p>
        </w:tc>
      </w:tr>
      <w:tr w:rsidR="002D6E25" w:rsidRPr="003A3B73" w14:paraId="030BC712" w14:textId="77777777" w:rsidTr="00FA28F2">
        <w:trPr>
          <w:trHeight w:val="614"/>
        </w:trPr>
        <w:tc>
          <w:tcPr>
            <w:tcW w:w="311" w:type="pct"/>
            <w:shd w:val="clear" w:color="auto" w:fill="FFFFFF"/>
            <w:tcMar>
              <w:top w:w="0" w:type="dxa"/>
              <w:left w:w="108" w:type="dxa"/>
              <w:bottom w:w="0" w:type="dxa"/>
              <w:right w:w="108" w:type="dxa"/>
            </w:tcMar>
          </w:tcPr>
          <w:p w14:paraId="2D99AB8B"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26" w:type="pct"/>
            <w:gridSpan w:val="2"/>
            <w:shd w:val="clear" w:color="auto" w:fill="FFFFFF"/>
            <w:tcMar>
              <w:top w:w="0" w:type="dxa"/>
              <w:left w:w="108" w:type="dxa"/>
              <w:bottom w:w="0" w:type="dxa"/>
              <w:right w:w="108" w:type="dxa"/>
            </w:tcMar>
          </w:tcPr>
          <w:p w14:paraId="7B56AE16" w14:textId="2BDDA861" w:rsidR="002D6E25" w:rsidRPr="003A3B73" w:rsidRDefault="00103142" w:rsidP="008D3F78">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Type of procurement procedure</w:t>
            </w:r>
            <w:r w:rsidR="008D3F78" w:rsidRPr="003A3B73">
              <w:rPr>
                <w:rFonts w:ascii="Times New Roman" w:hAnsi="Times New Roman" w:cs="Times New Roman"/>
                <w:sz w:val="24"/>
                <w:szCs w:val="24"/>
                <w:lang w:val="en-GB"/>
              </w:rPr>
              <w:t>:</w:t>
            </w:r>
          </w:p>
        </w:tc>
        <w:tc>
          <w:tcPr>
            <w:tcW w:w="2963" w:type="pct"/>
            <w:shd w:val="clear" w:color="auto" w:fill="C6D9F1"/>
            <w:tcMar>
              <w:top w:w="0" w:type="dxa"/>
              <w:left w:w="108" w:type="dxa"/>
              <w:bottom w:w="0" w:type="dxa"/>
              <w:right w:w="108" w:type="dxa"/>
            </w:tcMar>
          </w:tcPr>
          <w:p w14:paraId="476183D8" w14:textId="4D610D68" w:rsidR="000E259C" w:rsidRPr="003A3B73" w:rsidRDefault="004C7744" w:rsidP="00842682">
            <w:pPr>
              <w:tabs>
                <w:tab w:val="clear" w:pos="720"/>
                <w:tab w:val="left" w:pos="360"/>
              </w:tabs>
              <w:spacing w:before="60" w:after="60" w:line="240" w:lineRule="auto"/>
              <w:rPr>
                <w:rFonts w:ascii="Times New Roman" w:hAnsi="Times New Roman" w:cs="Times New Roman"/>
                <w:b/>
                <w:sz w:val="24"/>
                <w:szCs w:val="24"/>
                <w:lang w:val="en-GB"/>
              </w:rPr>
            </w:pPr>
            <w:r w:rsidRPr="003A3B73">
              <w:rPr>
                <w:rFonts w:ascii="Times New Roman" w:hAnsi="Times New Roman" w:cs="Times New Roman"/>
                <w:sz w:val="24"/>
                <w:szCs w:val="24"/>
                <w:lang w:val="en-GB"/>
              </w:rPr>
              <w:t>International open procedure</w:t>
            </w:r>
          </w:p>
        </w:tc>
      </w:tr>
      <w:tr w:rsidR="002D6E25" w:rsidRPr="003A3B73" w14:paraId="46B0A0D7" w14:textId="77777777" w:rsidTr="00FA28F2">
        <w:trPr>
          <w:trHeight w:val="216"/>
        </w:trPr>
        <w:tc>
          <w:tcPr>
            <w:tcW w:w="311" w:type="pct"/>
            <w:shd w:val="clear" w:color="auto" w:fill="FFFFFF"/>
            <w:tcMar>
              <w:top w:w="0" w:type="dxa"/>
              <w:left w:w="108" w:type="dxa"/>
              <w:bottom w:w="0" w:type="dxa"/>
              <w:right w:w="108" w:type="dxa"/>
            </w:tcMar>
          </w:tcPr>
          <w:p w14:paraId="75E0A99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46D724EE" w14:textId="77777777" w:rsidR="002D6E25" w:rsidRPr="003A3B73" w:rsidRDefault="002D6E25" w:rsidP="00997B6B">
            <w:pPr>
              <w:spacing w:before="60" w:after="60" w:line="240" w:lineRule="auto"/>
              <w:rPr>
                <w:rFonts w:ascii="Times New Roman" w:hAnsi="Times New Roman" w:cs="Times New Roman"/>
                <w:sz w:val="24"/>
                <w:szCs w:val="24"/>
                <w:lang w:val="en-GB"/>
              </w:rPr>
            </w:pPr>
          </w:p>
        </w:tc>
      </w:tr>
      <w:tr w:rsidR="002D6E25" w:rsidRPr="003A3B73" w14:paraId="306ABC89" w14:textId="77777777" w:rsidTr="00FA28F2">
        <w:trPr>
          <w:trHeight w:val="614"/>
        </w:trPr>
        <w:tc>
          <w:tcPr>
            <w:tcW w:w="311" w:type="pct"/>
            <w:shd w:val="clear" w:color="auto" w:fill="FFFFFF"/>
            <w:tcMar>
              <w:top w:w="0" w:type="dxa"/>
              <w:left w:w="108" w:type="dxa"/>
              <w:bottom w:w="0" w:type="dxa"/>
              <w:right w:w="108" w:type="dxa"/>
            </w:tcMar>
          </w:tcPr>
          <w:p w14:paraId="011744E8"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26" w:type="pct"/>
            <w:gridSpan w:val="2"/>
            <w:shd w:val="clear" w:color="auto" w:fill="FFFFFF"/>
            <w:tcMar>
              <w:top w:w="0" w:type="dxa"/>
              <w:left w:w="108" w:type="dxa"/>
              <w:bottom w:w="0" w:type="dxa"/>
              <w:right w:w="108" w:type="dxa"/>
            </w:tcMar>
          </w:tcPr>
          <w:p w14:paraId="3F87942A" w14:textId="5D91C8A1" w:rsidR="00501D88" w:rsidRPr="003A3B73" w:rsidRDefault="00103142"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Type of contract</w:t>
            </w:r>
            <w:r w:rsidR="004511C2" w:rsidRPr="003A3B73">
              <w:rPr>
                <w:rFonts w:ascii="Times New Roman" w:hAnsi="Times New Roman" w:cs="Times New Roman"/>
                <w:sz w:val="24"/>
                <w:szCs w:val="24"/>
                <w:lang w:val="en-GB"/>
              </w:rPr>
              <w:t>:</w:t>
            </w:r>
          </w:p>
        </w:tc>
        <w:tc>
          <w:tcPr>
            <w:tcW w:w="2963" w:type="pct"/>
            <w:shd w:val="clear" w:color="auto" w:fill="C6D9F1"/>
            <w:tcMar>
              <w:top w:w="0" w:type="dxa"/>
              <w:left w:w="108" w:type="dxa"/>
              <w:bottom w:w="0" w:type="dxa"/>
              <w:right w:w="108" w:type="dxa"/>
            </w:tcMar>
          </w:tcPr>
          <w:p w14:paraId="4F4BF7B5" w14:textId="086FD0CE" w:rsidR="002D6E25" w:rsidRPr="003A3B73" w:rsidRDefault="00103142" w:rsidP="00BC3F7F">
            <w:pPr>
              <w:tabs>
                <w:tab w:val="clear" w:pos="720"/>
                <w:tab w:val="left" w:pos="295"/>
              </w:tabs>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Contract on execution of works</w:t>
            </w:r>
          </w:p>
        </w:tc>
      </w:tr>
      <w:tr w:rsidR="00973CF2" w:rsidRPr="003A3B73" w14:paraId="7C3AB80F" w14:textId="77777777" w:rsidTr="0004439C">
        <w:tc>
          <w:tcPr>
            <w:tcW w:w="311" w:type="pct"/>
            <w:shd w:val="clear" w:color="auto" w:fill="FFFFFF" w:themeFill="background1"/>
            <w:tcMar>
              <w:top w:w="0" w:type="dxa"/>
              <w:left w:w="108" w:type="dxa"/>
              <w:bottom w:w="0" w:type="dxa"/>
              <w:right w:w="108" w:type="dxa"/>
            </w:tcMar>
          </w:tcPr>
          <w:p w14:paraId="09CFAF30" w14:textId="77777777" w:rsidR="00973CF2" w:rsidRPr="003A3B73" w:rsidRDefault="00973CF2"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hemeFill="background1"/>
            <w:tcMar>
              <w:top w:w="0" w:type="dxa"/>
              <w:left w:w="108" w:type="dxa"/>
              <w:bottom w:w="0" w:type="dxa"/>
              <w:right w:w="108" w:type="dxa"/>
            </w:tcMar>
          </w:tcPr>
          <w:p w14:paraId="7F8068A0" w14:textId="1E3C8AD6" w:rsidR="00973CF2" w:rsidRPr="003A3B73" w:rsidRDefault="004C7744" w:rsidP="001222F0">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Description of the subject of the procurement</w:t>
            </w:r>
            <w:r w:rsidR="00973CF2" w:rsidRPr="003A3B73">
              <w:rPr>
                <w:rFonts w:ascii="Times New Roman" w:hAnsi="Times New Roman" w:cs="Times New Roman"/>
                <w:sz w:val="24"/>
                <w:szCs w:val="24"/>
                <w:lang w:val="en-GB"/>
              </w:rPr>
              <w:t>:</w:t>
            </w:r>
          </w:p>
        </w:tc>
      </w:tr>
      <w:tr w:rsidR="002D6E25" w:rsidRPr="003A3B73" w14:paraId="5057336F" w14:textId="77777777" w:rsidTr="0004439C">
        <w:tc>
          <w:tcPr>
            <w:tcW w:w="311" w:type="pct"/>
            <w:shd w:val="clear" w:color="auto" w:fill="FFFFFF"/>
            <w:tcMar>
              <w:top w:w="0" w:type="dxa"/>
              <w:left w:w="108" w:type="dxa"/>
              <w:bottom w:w="0" w:type="dxa"/>
              <w:right w:w="108" w:type="dxa"/>
            </w:tcMar>
          </w:tcPr>
          <w:p w14:paraId="73B4140D" w14:textId="77777777" w:rsidR="002D6E25" w:rsidRPr="003A3B73"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E72399F" w14:textId="77777777" w:rsidR="00973CF2" w:rsidRPr="003A3B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F196F30" w14:textId="77777777" w:rsidR="00973CF2" w:rsidRPr="003A3B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89" w:type="pct"/>
            <w:gridSpan w:val="3"/>
            <w:shd w:val="clear" w:color="auto" w:fill="C6D9F1" w:themeFill="text2" w:themeFillTint="33"/>
            <w:tcMar>
              <w:top w:w="0" w:type="dxa"/>
              <w:left w:w="108" w:type="dxa"/>
              <w:bottom w:w="0" w:type="dxa"/>
              <w:right w:w="108" w:type="dxa"/>
            </w:tcMar>
          </w:tcPr>
          <w:p w14:paraId="55B2D3AC" w14:textId="0C5B1DE0" w:rsidR="004C7744" w:rsidRPr="003A3B73" w:rsidRDefault="004C7744" w:rsidP="004C7744">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In the agreement on the implementation of the Regional Housing Programme in Serbia, the construction of the Multi Apartment Buildings is envisaged as one of the housing modalities (A1: Apartment Buildings) which is to be carried out in several implementation stages. </w:t>
            </w:r>
          </w:p>
          <w:p w14:paraId="3DC9B251" w14:textId="77777777" w:rsidR="000359A7" w:rsidRDefault="000359A7" w:rsidP="004C7744">
            <w:pPr>
              <w:spacing w:before="60" w:after="60" w:line="240" w:lineRule="auto"/>
              <w:jc w:val="both"/>
              <w:rPr>
                <w:rFonts w:ascii="Times New Roman" w:hAnsi="Times New Roman" w:cs="Times New Roman"/>
                <w:sz w:val="24"/>
                <w:szCs w:val="24"/>
                <w:lang w:val="en-GB"/>
              </w:rPr>
            </w:pPr>
          </w:p>
          <w:p w14:paraId="726BB1AA" w14:textId="1E95C610" w:rsidR="004C7744" w:rsidRPr="003A3B73" w:rsidRDefault="004C7744" w:rsidP="004C7744">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lastRenderedPageBreak/>
              <w:t xml:space="preserve">The mentioned housing modality defines collective housing in the apartments on the new locations and refers to the refugees wishing to integrate in the local communities as the users. </w:t>
            </w:r>
          </w:p>
          <w:p w14:paraId="42D60F5B" w14:textId="77777777" w:rsidR="00304386" w:rsidRDefault="004C7744" w:rsidP="00BD02D0">
            <w:pPr>
              <w:spacing w:before="60" w:after="60" w:line="240" w:lineRule="auto"/>
              <w:jc w:val="both"/>
              <w:rPr>
                <w:rFonts w:ascii="Times New Roman" w:hAnsi="Times New Roman"/>
                <w:sz w:val="24"/>
                <w:szCs w:val="24"/>
                <w:lang w:val="en-GB"/>
              </w:rPr>
            </w:pPr>
            <w:r w:rsidRPr="003A3B73">
              <w:rPr>
                <w:rFonts w:ascii="Times New Roman" w:hAnsi="Times New Roman"/>
                <w:sz w:val="24"/>
                <w:szCs w:val="24"/>
                <w:lang w:val="en-GB"/>
              </w:rPr>
              <w:t>The scope of this project implies the execution of works on the construction of residential buildings</w:t>
            </w:r>
            <w:r w:rsidR="00A53C36" w:rsidRPr="003A3B73">
              <w:rPr>
                <w:rFonts w:ascii="Times New Roman" w:hAnsi="Times New Roman"/>
                <w:sz w:val="24"/>
                <w:szCs w:val="24"/>
                <w:lang w:val="en-GB"/>
              </w:rPr>
              <w:t xml:space="preserve"> intended for social housing</w:t>
            </w:r>
            <w:r w:rsidR="00BD02D0">
              <w:rPr>
                <w:rFonts w:ascii="Times New Roman" w:hAnsi="Times New Roman"/>
                <w:sz w:val="24"/>
                <w:szCs w:val="24"/>
                <w:lang w:val="en-GB"/>
              </w:rPr>
              <w:t xml:space="preserve"> in </w:t>
            </w:r>
            <w:r w:rsidR="009F20E4">
              <w:rPr>
                <w:rFonts w:ascii="Times New Roman" w:hAnsi="Times New Roman"/>
                <w:sz w:val="24"/>
                <w:szCs w:val="24"/>
                <w:lang w:val="en-GB"/>
              </w:rPr>
              <w:t xml:space="preserve">the following municipalities: Novi Sad 94 apartments, </w:t>
            </w:r>
            <w:proofErr w:type="spellStart"/>
            <w:r w:rsidR="009F20E4">
              <w:rPr>
                <w:rFonts w:ascii="Times New Roman" w:hAnsi="Times New Roman"/>
                <w:sz w:val="24"/>
                <w:szCs w:val="24"/>
                <w:lang w:val="en-GB"/>
              </w:rPr>
              <w:t>Vrbas</w:t>
            </w:r>
            <w:proofErr w:type="spellEnd"/>
            <w:r w:rsidR="00BD02D0">
              <w:rPr>
                <w:rFonts w:ascii="Times New Roman" w:hAnsi="Times New Roman"/>
                <w:sz w:val="24"/>
                <w:szCs w:val="24"/>
                <w:lang w:val="en-GB"/>
              </w:rPr>
              <w:t xml:space="preserve"> – </w:t>
            </w:r>
            <w:r w:rsidR="009F20E4">
              <w:rPr>
                <w:rFonts w:ascii="Times New Roman" w:hAnsi="Times New Roman"/>
                <w:sz w:val="24"/>
                <w:szCs w:val="24"/>
                <w:lang w:val="en-GB"/>
              </w:rPr>
              <w:t>14</w:t>
            </w:r>
            <w:r w:rsidR="00BD02D0">
              <w:rPr>
                <w:rFonts w:ascii="Times New Roman" w:hAnsi="Times New Roman"/>
                <w:sz w:val="24"/>
                <w:szCs w:val="24"/>
                <w:lang w:val="en-GB"/>
              </w:rPr>
              <w:t xml:space="preserve"> apartments</w:t>
            </w:r>
            <w:r w:rsidR="009F20E4">
              <w:rPr>
                <w:rFonts w:ascii="Times New Roman" w:hAnsi="Times New Roman"/>
                <w:sz w:val="24"/>
                <w:szCs w:val="24"/>
                <w:lang w:val="en-GB"/>
              </w:rPr>
              <w:t xml:space="preserve"> and </w:t>
            </w:r>
            <w:proofErr w:type="spellStart"/>
            <w:r w:rsidR="009F20E4">
              <w:rPr>
                <w:rFonts w:ascii="Times New Roman" w:hAnsi="Times New Roman"/>
                <w:sz w:val="24"/>
                <w:szCs w:val="24"/>
                <w:lang w:val="en-GB"/>
              </w:rPr>
              <w:t>Pancevo</w:t>
            </w:r>
            <w:proofErr w:type="spellEnd"/>
            <w:r w:rsidR="009F20E4">
              <w:rPr>
                <w:rFonts w:ascii="Times New Roman" w:hAnsi="Times New Roman"/>
                <w:sz w:val="24"/>
                <w:szCs w:val="24"/>
                <w:lang w:val="en-GB"/>
              </w:rPr>
              <w:t xml:space="preserve"> – 36 apartments</w:t>
            </w:r>
            <w:r w:rsidR="00BD02D0">
              <w:rPr>
                <w:rFonts w:ascii="Times New Roman" w:hAnsi="Times New Roman"/>
                <w:sz w:val="24"/>
                <w:szCs w:val="24"/>
                <w:lang w:val="en-GB"/>
              </w:rPr>
              <w:t xml:space="preserve">. </w:t>
            </w:r>
          </w:p>
          <w:p w14:paraId="1C53A7C0" w14:textId="1C635F8E" w:rsidR="00C20876" w:rsidRPr="003A3B73" w:rsidRDefault="00FA28F2" w:rsidP="00FA28F2">
            <w:pPr>
              <w:spacing w:before="60" w:after="6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Code from CVP</w:t>
            </w:r>
            <w:r w:rsidR="00C20876" w:rsidRPr="00C20876">
              <w:rPr>
                <w:rFonts w:ascii="Times New Roman" w:hAnsi="Times New Roman" w:cs="Times New Roman"/>
                <w:sz w:val="24"/>
                <w:szCs w:val="24"/>
                <w:lang w:val="en-GB"/>
              </w:rPr>
              <w:t xml:space="preserve">: </w:t>
            </w:r>
            <w:r w:rsidR="00C20876" w:rsidRPr="00C20876">
              <w:rPr>
                <w:rFonts w:ascii="Times New Roman" w:hAnsi="Times New Roman" w:cs="Times New Roman"/>
                <w:b/>
                <w:sz w:val="24"/>
                <w:szCs w:val="24"/>
                <w:lang w:val="en-GB"/>
              </w:rPr>
              <w:t xml:space="preserve">45211100 – </w:t>
            </w:r>
            <w:r>
              <w:rPr>
                <w:rFonts w:ascii="Times New Roman" w:hAnsi="Times New Roman" w:cs="Times New Roman"/>
                <w:b/>
                <w:sz w:val="24"/>
                <w:szCs w:val="24"/>
                <w:lang w:val="en-GB"/>
              </w:rPr>
              <w:t>Construction works</w:t>
            </w:r>
          </w:p>
        </w:tc>
      </w:tr>
      <w:tr w:rsidR="00973CF2" w:rsidRPr="003A3B73" w14:paraId="2D7FD9E5" w14:textId="77777777" w:rsidTr="0004439C">
        <w:tc>
          <w:tcPr>
            <w:tcW w:w="311" w:type="pct"/>
            <w:shd w:val="clear" w:color="auto" w:fill="FFFFFF" w:themeFill="background1"/>
            <w:tcMar>
              <w:top w:w="0" w:type="dxa"/>
              <w:left w:w="108" w:type="dxa"/>
              <w:bottom w:w="0" w:type="dxa"/>
              <w:right w:w="108" w:type="dxa"/>
            </w:tcMar>
          </w:tcPr>
          <w:p w14:paraId="3C5D1C7D" w14:textId="77777777" w:rsidR="00973CF2" w:rsidRPr="003A3B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89" w:type="pct"/>
            <w:gridSpan w:val="3"/>
            <w:shd w:val="clear" w:color="auto" w:fill="FFFFFF" w:themeFill="background1"/>
            <w:tcMar>
              <w:top w:w="0" w:type="dxa"/>
              <w:left w:w="108" w:type="dxa"/>
              <w:bottom w:w="0" w:type="dxa"/>
              <w:right w:w="108" w:type="dxa"/>
            </w:tcMar>
          </w:tcPr>
          <w:p w14:paraId="5B1AC837" w14:textId="77777777" w:rsidR="00973CF2" w:rsidRPr="003A3B73" w:rsidRDefault="00973CF2" w:rsidP="006B7537">
            <w:pPr>
              <w:spacing w:before="60" w:after="60" w:line="240" w:lineRule="auto"/>
              <w:jc w:val="both"/>
              <w:rPr>
                <w:rFonts w:ascii="Times New Roman" w:hAnsi="Times New Roman" w:cs="Times New Roman"/>
                <w:sz w:val="24"/>
                <w:szCs w:val="24"/>
                <w:lang w:val="en-GB"/>
              </w:rPr>
            </w:pPr>
          </w:p>
        </w:tc>
      </w:tr>
      <w:tr w:rsidR="00FA28F2" w:rsidRPr="003A3B73" w14:paraId="227945A2" w14:textId="77777777" w:rsidTr="0004439C">
        <w:trPr>
          <w:trHeight w:val="745"/>
        </w:trPr>
        <w:tc>
          <w:tcPr>
            <w:tcW w:w="311" w:type="pct"/>
            <w:shd w:val="clear" w:color="auto" w:fill="FFFFFF"/>
            <w:tcMar>
              <w:top w:w="0" w:type="dxa"/>
              <w:left w:w="108" w:type="dxa"/>
              <w:bottom w:w="0" w:type="dxa"/>
              <w:right w:w="108" w:type="dxa"/>
            </w:tcMar>
          </w:tcPr>
          <w:p w14:paraId="2D74FC43" w14:textId="77777777" w:rsidR="00FA28F2" w:rsidRPr="003A3B73" w:rsidRDefault="00FA28F2" w:rsidP="00FA28F2">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18" w:type="pct"/>
            <w:shd w:val="clear" w:color="auto" w:fill="FFFFFF"/>
            <w:tcMar>
              <w:top w:w="0" w:type="dxa"/>
              <w:left w:w="108" w:type="dxa"/>
              <w:bottom w:w="0" w:type="dxa"/>
              <w:right w:w="108" w:type="dxa"/>
            </w:tcMar>
          </w:tcPr>
          <w:p w14:paraId="7BFE52F4" w14:textId="1410093D" w:rsidR="0004439C" w:rsidRPr="003A3B73" w:rsidRDefault="0004439C" w:rsidP="00FA28F2">
            <w:pPr>
              <w:spacing w:before="60" w:after="60" w:line="240" w:lineRule="auto"/>
              <w:rPr>
                <w:rFonts w:ascii="Times New Roman" w:hAnsi="Times New Roman" w:cs="Times New Roman"/>
                <w:sz w:val="24"/>
                <w:szCs w:val="24"/>
                <w:lang w:val="en-GB"/>
              </w:rPr>
            </w:pPr>
            <w:r w:rsidRPr="0004439C">
              <w:rPr>
                <w:rFonts w:ascii="Times New Roman" w:hAnsi="Times New Roman" w:cs="Times New Roman"/>
                <w:sz w:val="24"/>
                <w:szCs w:val="24"/>
                <w:lang w:val="en-GB"/>
              </w:rPr>
              <w:t>Number of lots, if procurement is divided in lots:</w:t>
            </w:r>
          </w:p>
        </w:tc>
        <w:tc>
          <w:tcPr>
            <w:tcW w:w="2971" w:type="pct"/>
            <w:gridSpan w:val="2"/>
            <w:shd w:val="clear" w:color="auto" w:fill="C6D9F1"/>
            <w:tcMar>
              <w:top w:w="0" w:type="dxa"/>
              <w:left w:w="108" w:type="dxa"/>
              <w:bottom w:w="0" w:type="dxa"/>
              <w:right w:w="108" w:type="dxa"/>
            </w:tcMar>
          </w:tcPr>
          <w:p w14:paraId="34BE269B" w14:textId="77777777" w:rsidR="0004439C" w:rsidRPr="0004439C" w:rsidRDefault="0004439C" w:rsidP="0004439C">
            <w:pPr>
              <w:spacing w:before="60" w:after="60" w:line="240" w:lineRule="auto"/>
              <w:rPr>
                <w:rFonts w:ascii="Times New Roman" w:hAnsi="Times New Roman" w:cs="Times New Roman"/>
                <w:b/>
                <w:sz w:val="24"/>
                <w:szCs w:val="24"/>
                <w:lang w:val="en-GB"/>
              </w:rPr>
            </w:pPr>
            <w:r w:rsidRPr="0004439C">
              <w:rPr>
                <w:rFonts w:ascii="Times New Roman" w:hAnsi="Times New Roman" w:cs="Times New Roman"/>
                <w:b/>
                <w:sz w:val="24"/>
                <w:szCs w:val="24"/>
                <w:lang w:val="en-GB"/>
              </w:rPr>
              <w:t>2 (two) Lots:</w:t>
            </w:r>
          </w:p>
          <w:p w14:paraId="7DDBD9D4" w14:textId="2376E43C" w:rsidR="0004439C" w:rsidRPr="0004439C" w:rsidRDefault="0004439C" w:rsidP="0004439C">
            <w:pPr>
              <w:numPr>
                <w:ilvl w:val="0"/>
                <w:numId w:val="34"/>
              </w:numPr>
              <w:spacing w:before="60" w:after="60" w:line="240" w:lineRule="auto"/>
              <w:rPr>
                <w:rFonts w:ascii="Times New Roman" w:hAnsi="Times New Roman" w:cs="Times New Roman"/>
                <w:b/>
                <w:sz w:val="24"/>
                <w:szCs w:val="24"/>
                <w:lang w:val="en-GB"/>
              </w:rPr>
            </w:pPr>
            <w:r w:rsidRPr="0004439C">
              <w:rPr>
                <w:rFonts w:ascii="Times New Roman" w:hAnsi="Times New Roman" w:cs="Times New Roman"/>
                <w:b/>
                <w:sz w:val="24"/>
                <w:szCs w:val="24"/>
                <w:lang w:val="en-GB"/>
              </w:rPr>
              <w:t xml:space="preserve">Lot 1: Novi Sad </w:t>
            </w:r>
            <w:r w:rsidR="009674CB">
              <w:rPr>
                <w:rFonts w:ascii="Times New Roman" w:hAnsi="Times New Roman" w:cs="Times New Roman"/>
                <w:b/>
                <w:sz w:val="24"/>
                <w:szCs w:val="24"/>
                <w:lang w:val="en-GB"/>
              </w:rPr>
              <w:t xml:space="preserve">- </w:t>
            </w:r>
            <w:r w:rsidRPr="0004439C">
              <w:rPr>
                <w:rFonts w:ascii="Times New Roman" w:hAnsi="Times New Roman" w:cs="Times New Roman"/>
                <w:b/>
                <w:sz w:val="24"/>
                <w:szCs w:val="24"/>
                <w:lang w:val="en-GB"/>
              </w:rPr>
              <w:t xml:space="preserve">94 apartments, </w:t>
            </w:r>
            <w:proofErr w:type="spellStart"/>
            <w:r w:rsidRPr="0004439C">
              <w:rPr>
                <w:rFonts w:ascii="Times New Roman" w:hAnsi="Times New Roman" w:cs="Times New Roman"/>
                <w:b/>
                <w:sz w:val="24"/>
                <w:szCs w:val="24"/>
                <w:lang w:val="en-GB"/>
              </w:rPr>
              <w:t>Vrbas</w:t>
            </w:r>
            <w:proofErr w:type="spellEnd"/>
            <w:r w:rsidRPr="0004439C">
              <w:rPr>
                <w:rFonts w:ascii="Times New Roman" w:hAnsi="Times New Roman" w:cs="Times New Roman"/>
                <w:b/>
                <w:sz w:val="24"/>
                <w:szCs w:val="24"/>
                <w:lang w:val="en-GB"/>
              </w:rPr>
              <w:t xml:space="preserve"> – 14 apartments</w:t>
            </w:r>
          </w:p>
          <w:p w14:paraId="66C158D1" w14:textId="76408BD4" w:rsidR="0004439C" w:rsidRPr="009F20E4" w:rsidRDefault="0004439C" w:rsidP="0004439C">
            <w:pPr>
              <w:spacing w:before="60" w:after="60" w:line="240" w:lineRule="auto"/>
              <w:rPr>
                <w:rFonts w:ascii="Times New Roman" w:hAnsi="Times New Roman"/>
                <w:sz w:val="24"/>
                <w:szCs w:val="24"/>
                <w:lang w:val="en-GB"/>
              </w:rPr>
            </w:pPr>
            <w:r w:rsidRPr="0004439C">
              <w:rPr>
                <w:rFonts w:ascii="Times New Roman" w:hAnsi="Times New Roman" w:cs="Times New Roman"/>
                <w:b/>
                <w:sz w:val="24"/>
                <w:szCs w:val="24"/>
                <w:lang w:val="en-GB"/>
              </w:rPr>
              <w:t xml:space="preserve">Lot 2: </w:t>
            </w:r>
            <w:proofErr w:type="spellStart"/>
            <w:r w:rsidRPr="0004439C">
              <w:rPr>
                <w:rFonts w:ascii="Times New Roman" w:hAnsi="Times New Roman" w:cs="Times New Roman"/>
                <w:b/>
                <w:sz w:val="24"/>
                <w:szCs w:val="24"/>
                <w:lang w:val="en-GB"/>
              </w:rPr>
              <w:t>Pančevo</w:t>
            </w:r>
            <w:proofErr w:type="spellEnd"/>
            <w:r w:rsidRPr="0004439C">
              <w:rPr>
                <w:rFonts w:ascii="Times New Roman" w:hAnsi="Times New Roman" w:cs="Times New Roman"/>
                <w:b/>
                <w:sz w:val="24"/>
                <w:szCs w:val="24"/>
                <w:lang w:val="en-GB"/>
              </w:rPr>
              <w:t xml:space="preserve"> – 36 apartments.</w:t>
            </w:r>
          </w:p>
        </w:tc>
      </w:tr>
      <w:tr w:rsidR="00FA28F2" w:rsidRPr="003A3B73" w14:paraId="0FF3F48F" w14:textId="77777777" w:rsidTr="0004439C">
        <w:trPr>
          <w:trHeight w:val="192"/>
        </w:trPr>
        <w:tc>
          <w:tcPr>
            <w:tcW w:w="311" w:type="pct"/>
            <w:shd w:val="clear" w:color="auto" w:fill="FFFFFF"/>
            <w:tcMar>
              <w:top w:w="0" w:type="dxa"/>
              <w:left w:w="108" w:type="dxa"/>
              <w:bottom w:w="0" w:type="dxa"/>
              <w:right w:w="108" w:type="dxa"/>
            </w:tcMar>
          </w:tcPr>
          <w:p w14:paraId="6A6F3B4E" w14:textId="77777777" w:rsidR="00FA28F2" w:rsidRPr="00FA28F2" w:rsidRDefault="00FA28F2" w:rsidP="00FA28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52152331" w14:textId="77777777" w:rsidR="00FA28F2" w:rsidRPr="009F20E4" w:rsidRDefault="00FA28F2" w:rsidP="00BD02D0">
            <w:pPr>
              <w:spacing w:before="60" w:after="60" w:line="240" w:lineRule="auto"/>
              <w:rPr>
                <w:rFonts w:ascii="Times New Roman" w:hAnsi="Times New Roman"/>
                <w:sz w:val="24"/>
                <w:szCs w:val="24"/>
                <w:lang w:val="en-GB"/>
              </w:rPr>
            </w:pPr>
          </w:p>
        </w:tc>
      </w:tr>
      <w:tr w:rsidR="002D6E25" w:rsidRPr="003A3B73" w14:paraId="41B22B8E" w14:textId="77777777" w:rsidTr="0004439C">
        <w:trPr>
          <w:trHeight w:val="745"/>
        </w:trPr>
        <w:tc>
          <w:tcPr>
            <w:tcW w:w="311" w:type="pct"/>
            <w:shd w:val="clear" w:color="auto" w:fill="FFFFFF"/>
            <w:tcMar>
              <w:top w:w="0" w:type="dxa"/>
              <w:left w:w="108" w:type="dxa"/>
              <w:bottom w:w="0" w:type="dxa"/>
              <w:right w:w="108" w:type="dxa"/>
            </w:tcMar>
          </w:tcPr>
          <w:p w14:paraId="1CD6FFF5"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18" w:type="pct"/>
            <w:shd w:val="clear" w:color="auto" w:fill="FFFFFF"/>
            <w:tcMar>
              <w:top w:w="0" w:type="dxa"/>
              <w:left w:w="108" w:type="dxa"/>
              <w:bottom w:w="0" w:type="dxa"/>
              <w:right w:w="108" w:type="dxa"/>
            </w:tcMar>
          </w:tcPr>
          <w:p w14:paraId="7F2624B4" w14:textId="008F7709" w:rsidR="00083F35" w:rsidRPr="003A3B73" w:rsidRDefault="0004439C" w:rsidP="007036F1">
            <w:pPr>
              <w:spacing w:before="60" w:after="60" w:line="240" w:lineRule="auto"/>
              <w:rPr>
                <w:rFonts w:ascii="Times New Roman" w:hAnsi="Times New Roman" w:cs="Times New Roman"/>
                <w:sz w:val="24"/>
                <w:szCs w:val="24"/>
                <w:lang w:val="en-GB"/>
              </w:rPr>
            </w:pPr>
            <w:r w:rsidRPr="0004439C">
              <w:rPr>
                <w:rFonts w:ascii="Times New Roman" w:hAnsi="Times New Roman" w:cs="Times New Roman"/>
                <w:sz w:val="24"/>
                <w:szCs w:val="24"/>
                <w:lang w:val="en-GB"/>
              </w:rPr>
              <w:t>Maximum contract budget:</w:t>
            </w:r>
          </w:p>
        </w:tc>
        <w:tc>
          <w:tcPr>
            <w:tcW w:w="2971" w:type="pct"/>
            <w:gridSpan w:val="2"/>
            <w:shd w:val="clear" w:color="auto" w:fill="C6D9F1"/>
            <w:tcMar>
              <w:top w:w="0" w:type="dxa"/>
              <w:left w:w="108" w:type="dxa"/>
              <w:bottom w:w="0" w:type="dxa"/>
              <w:right w:w="108" w:type="dxa"/>
            </w:tcMar>
          </w:tcPr>
          <w:p w14:paraId="38AF629A" w14:textId="77777777" w:rsidR="0004439C" w:rsidRPr="0004439C" w:rsidRDefault="0004439C" w:rsidP="0004439C">
            <w:pPr>
              <w:spacing w:before="60" w:after="60" w:line="240" w:lineRule="auto"/>
              <w:rPr>
                <w:rFonts w:ascii="Times New Roman" w:hAnsi="Times New Roman"/>
                <w:b/>
                <w:sz w:val="24"/>
                <w:szCs w:val="24"/>
                <w:lang w:val="en-GB"/>
              </w:rPr>
            </w:pPr>
            <w:r w:rsidRPr="0004439C">
              <w:rPr>
                <w:rFonts w:ascii="Times New Roman" w:hAnsi="Times New Roman"/>
                <w:b/>
                <w:sz w:val="24"/>
                <w:szCs w:val="24"/>
                <w:lang w:val="en-GB"/>
              </w:rPr>
              <w:t>5.042.080,00 EUR VAT excluded</w:t>
            </w:r>
          </w:p>
          <w:p w14:paraId="3B667308" w14:textId="77777777" w:rsidR="0004439C" w:rsidRPr="0004439C" w:rsidRDefault="0004439C" w:rsidP="0004439C">
            <w:pPr>
              <w:spacing w:before="60" w:after="60" w:line="240" w:lineRule="auto"/>
              <w:rPr>
                <w:rFonts w:ascii="Times New Roman" w:hAnsi="Times New Roman"/>
                <w:b/>
                <w:sz w:val="24"/>
                <w:szCs w:val="24"/>
                <w:lang w:val="en-GB"/>
              </w:rPr>
            </w:pPr>
          </w:p>
          <w:p w14:paraId="2562A4D8" w14:textId="46BD3653" w:rsidR="0076495D" w:rsidRDefault="0004439C" w:rsidP="0004439C">
            <w:pPr>
              <w:spacing w:before="60" w:after="60" w:line="240" w:lineRule="auto"/>
              <w:rPr>
                <w:rFonts w:ascii="Times New Roman" w:hAnsi="Times New Roman"/>
                <w:b/>
                <w:sz w:val="24"/>
                <w:szCs w:val="24"/>
                <w:lang w:val="en-GB"/>
              </w:rPr>
            </w:pPr>
            <w:r w:rsidRPr="0004439C">
              <w:rPr>
                <w:rFonts w:ascii="Times New Roman" w:hAnsi="Times New Roman"/>
                <w:b/>
                <w:sz w:val="24"/>
                <w:szCs w:val="24"/>
                <w:lang w:val="en-GB"/>
              </w:rPr>
              <w:t xml:space="preserve">Lot 1: </w:t>
            </w:r>
            <w:r w:rsidR="0076495D">
              <w:rPr>
                <w:rFonts w:ascii="Times New Roman" w:hAnsi="Times New Roman"/>
                <w:b/>
                <w:sz w:val="24"/>
                <w:szCs w:val="24"/>
                <w:lang w:val="en-GB"/>
              </w:rPr>
              <w:t xml:space="preserve">3.753.070,00 </w:t>
            </w:r>
            <w:r w:rsidR="0076495D" w:rsidRPr="0004439C">
              <w:rPr>
                <w:rFonts w:ascii="Times New Roman" w:hAnsi="Times New Roman"/>
                <w:b/>
                <w:sz w:val="24"/>
                <w:szCs w:val="24"/>
                <w:lang w:val="en-GB"/>
              </w:rPr>
              <w:t>EUR VAT excluded</w:t>
            </w:r>
          </w:p>
          <w:p w14:paraId="40B87A47" w14:textId="77777777" w:rsidR="0076495D" w:rsidRDefault="0004439C" w:rsidP="0004439C">
            <w:pPr>
              <w:spacing w:before="60" w:after="60" w:line="240" w:lineRule="auto"/>
              <w:rPr>
                <w:rFonts w:ascii="Times New Roman" w:hAnsi="Times New Roman"/>
                <w:b/>
                <w:sz w:val="24"/>
                <w:szCs w:val="24"/>
                <w:lang w:val="en-GB"/>
              </w:rPr>
            </w:pPr>
            <w:r w:rsidRPr="0004439C">
              <w:rPr>
                <w:rFonts w:ascii="Times New Roman" w:hAnsi="Times New Roman"/>
                <w:b/>
                <w:sz w:val="24"/>
                <w:szCs w:val="24"/>
                <w:lang w:val="en-GB"/>
              </w:rPr>
              <w:t xml:space="preserve">Novi Sad  </w:t>
            </w:r>
            <w:r w:rsidR="0076495D">
              <w:rPr>
                <w:rFonts w:ascii="Times New Roman" w:hAnsi="Times New Roman"/>
                <w:b/>
                <w:sz w:val="24"/>
                <w:szCs w:val="24"/>
                <w:lang w:val="en-GB"/>
              </w:rPr>
              <w:t>- 3.204.070,00 EUR VAT excluded</w:t>
            </w:r>
          </w:p>
          <w:p w14:paraId="155AFAFB" w14:textId="76288269" w:rsidR="0004439C" w:rsidRPr="0004439C" w:rsidRDefault="0004439C" w:rsidP="0004439C">
            <w:pPr>
              <w:spacing w:before="60" w:after="60" w:line="240" w:lineRule="auto"/>
              <w:rPr>
                <w:rFonts w:ascii="Times New Roman" w:hAnsi="Times New Roman"/>
                <w:b/>
                <w:sz w:val="24"/>
                <w:szCs w:val="24"/>
                <w:lang w:val="en-GB"/>
              </w:rPr>
            </w:pPr>
            <w:proofErr w:type="spellStart"/>
            <w:r>
              <w:rPr>
                <w:rFonts w:ascii="Times New Roman" w:hAnsi="Times New Roman"/>
                <w:b/>
                <w:sz w:val="24"/>
                <w:szCs w:val="24"/>
                <w:lang w:val="en-GB"/>
              </w:rPr>
              <w:t>Vrbas</w:t>
            </w:r>
            <w:proofErr w:type="spellEnd"/>
            <w:r>
              <w:rPr>
                <w:rFonts w:ascii="Times New Roman" w:hAnsi="Times New Roman"/>
                <w:b/>
                <w:sz w:val="24"/>
                <w:szCs w:val="24"/>
                <w:lang w:val="en-GB"/>
              </w:rPr>
              <w:t xml:space="preserve"> - </w:t>
            </w:r>
            <w:r w:rsidRPr="0004439C">
              <w:rPr>
                <w:rFonts w:ascii="Times New Roman" w:hAnsi="Times New Roman"/>
                <w:b/>
                <w:sz w:val="24"/>
                <w:szCs w:val="24"/>
                <w:lang w:val="en-GB"/>
              </w:rPr>
              <w:t xml:space="preserve">   </w:t>
            </w:r>
            <w:r w:rsidR="00291023">
              <w:rPr>
                <w:rFonts w:ascii="Times New Roman" w:hAnsi="Times New Roman"/>
                <w:b/>
                <w:sz w:val="24"/>
                <w:szCs w:val="24"/>
                <w:lang w:val="en-GB"/>
              </w:rPr>
              <w:t xml:space="preserve"> </w:t>
            </w:r>
            <w:r w:rsidR="0076495D">
              <w:rPr>
                <w:rFonts w:ascii="Times New Roman" w:hAnsi="Times New Roman"/>
                <w:b/>
                <w:sz w:val="24"/>
                <w:szCs w:val="24"/>
                <w:lang w:val="en-GB"/>
              </w:rPr>
              <w:t xml:space="preserve">     </w:t>
            </w:r>
            <w:r w:rsidRPr="0004439C">
              <w:rPr>
                <w:rFonts w:ascii="Times New Roman" w:hAnsi="Times New Roman"/>
                <w:b/>
                <w:sz w:val="24"/>
                <w:szCs w:val="24"/>
                <w:lang w:val="en-GB"/>
              </w:rPr>
              <w:t>549.000,00 EUR VAT excluded</w:t>
            </w:r>
          </w:p>
          <w:p w14:paraId="5E5B225C" w14:textId="77777777" w:rsidR="0004439C" w:rsidRPr="0004439C" w:rsidRDefault="0004439C" w:rsidP="0004439C">
            <w:pPr>
              <w:spacing w:before="60" w:after="60" w:line="240" w:lineRule="auto"/>
              <w:rPr>
                <w:rFonts w:ascii="Times New Roman" w:hAnsi="Times New Roman"/>
                <w:b/>
                <w:sz w:val="24"/>
                <w:szCs w:val="24"/>
                <w:lang w:val="en-GB"/>
              </w:rPr>
            </w:pPr>
          </w:p>
          <w:p w14:paraId="755B1143" w14:textId="6941FF95" w:rsidR="009F20E4" w:rsidRPr="0004439C" w:rsidRDefault="0004439C" w:rsidP="0004439C">
            <w:pPr>
              <w:spacing w:before="60" w:after="60" w:line="240" w:lineRule="auto"/>
              <w:rPr>
                <w:b/>
                <w:lang w:val="en-GB"/>
              </w:rPr>
            </w:pPr>
            <w:r w:rsidRPr="0004439C">
              <w:rPr>
                <w:rFonts w:ascii="Times New Roman" w:hAnsi="Times New Roman"/>
                <w:b/>
                <w:sz w:val="24"/>
                <w:szCs w:val="24"/>
                <w:lang w:val="en-GB"/>
              </w:rPr>
              <w:t xml:space="preserve">Lot 2: </w:t>
            </w:r>
            <w:proofErr w:type="spellStart"/>
            <w:r w:rsidRPr="0004439C">
              <w:rPr>
                <w:rFonts w:ascii="Times New Roman" w:hAnsi="Times New Roman"/>
                <w:b/>
                <w:sz w:val="24"/>
                <w:szCs w:val="24"/>
                <w:lang w:val="en-GB"/>
              </w:rPr>
              <w:t>Pančevo</w:t>
            </w:r>
            <w:proofErr w:type="spellEnd"/>
            <w:r w:rsidRPr="0004439C">
              <w:rPr>
                <w:rFonts w:ascii="Times New Roman" w:hAnsi="Times New Roman"/>
                <w:b/>
                <w:sz w:val="24"/>
                <w:szCs w:val="24"/>
                <w:lang w:val="en-GB"/>
              </w:rPr>
              <w:t xml:space="preserve"> – 1.289.010,00 EUR VAT excluded</w:t>
            </w:r>
          </w:p>
        </w:tc>
      </w:tr>
      <w:tr w:rsidR="00751F1A" w:rsidRPr="003A3B73" w14:paraId="14D80916" w14:textId="77777777" w:rsidTr="0004439C">
        <w:trPr>
          <w:trHeight w:val="380"/>
        </w:trPr>
        <w:tc>
          <w:tcPr>
            <w:tcW w:w="311" w:type="pct"/>
            <w:shd w:val="clear" w:color="auto" w:fill="FFFFFF" w:themeFill="background1"/>
            <w:tcMar>
              <w:top w:w="0" w:type="dxa"/>
              <w:left w:w="108" w:type="dxa"/>
              <w:bottom w:w="0" w:type="dxa"/>
              <w:right w:w="108" w:type="dxa"/>
            </w:tcMar>
          </w:tcPr>
          <w:p w14:paraId="6B3DB5EF" w14:textId="3F91D871" w:rsidR="00751F1A" w:rsidRPr="003A3B73"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26" w:type="pct"/>
            <w:gridSpan w:val="2"/>
            <w:shd w:val="clear" w:color="auto" w:fill="FFFFFF" w:themeFill="background1"/>
            <w:tcMar>
              <w:top w:w="0" w:type="dxa"/>
              <w:left w:w="108" w:type="dxa"/>
              <w:bottom w:w="0" w:type="dxa"/>
              <w:right w:w="108" w:type="dxa"/>
            </w:tcMar>
          </w:tcPr>
          <w:p w14:paraId="39797960" w14:textId="77777777" w:rsidR="00751F1A" w:rsidRPr="003A3B73" w:rsidRDefault="00751F1A" w:rsidP="009E33F0">
            <w:pPr>
              <w:spacing w:before="60" w:after="60" w:line="240" w:lineRule="auto"/>
              <w:rPr>
                <w:rFonts w:ascii="Times New Roman" w:hAnsi="Times New Roman" w:cs="Times New Roman"/>
                <w:sz w:val="24"/>
                <w:szCs w:val="24"/>
                <w:lang w:val="en-GB"/>
              </w:rPr>
            </w:pPr>
          </w:p>
        </w:tc>
        <w:tc>
          <w:tcPr>
            <w:tcW w:w="2963" w:type="pct"/>
            <w:shd w:val="clear" w:color="auto" w:fill="FFFFFF" w:themeFill="background1"/>
            <w:tcMar>
              <w:top w:w="0" w:type="dxa"/>
              <w:left w:w="108" w:type="dxa"/>
              <w:bottom w:w="0" w:type="dxa"/>
              <w:right w:w="108" w:type="dxa"/>
            </w:tcMar>
          </w:tcPr>
          <w:p w14:paraId="043232EB" w14:textId="77777777" w:rsidR="00751F1A" w:rsidRPr="003A3B73" w:rsidRDefault="00751F1A" w:rsidP="00991AEC">
            <w:pPr>
              <w:spacing w:before="60" w:after="60" w:line="240" w:lineRule="auto"/>
              <w:rPr>
                <w:rFonts w:ascii="Times New Roman" w:hAnsi="Times New Roman" w:cs="Times New Roman"/>
                <w:sz w:val="24"/>
                <w:szCs w:val="24"/>
                <w:lang w:val="en-GB"/>
              </w:rPr>
            </w:pPr>
          </w:p>
        </w:tc>
      </w:tr>
      <w:tr w:rsidR="002D6E25" w:rsidRPr="003A3B73" w14:paraId="62FBCD47" w14:textId="77777777" w:rsidTr="00FA28F2">
        <w:tc>
          <w:tcPr>
            <w:tcW w:w="311" w:type="pct"/>
            <w:shd w:val="clear" w:color="auto" w:fill="FFFFFF"/>
            <w:tcMar>
              <w:top w:w="0" w:type="dxa"/>
              <w:left w:w="108" w:type="dxa"/>
              <w:bottom w:w="0" w:type="dxa"/>
              <w:right w:w="108" w:type="dxa"/>
            </w:tcMar>
          </w:tcPr>
          <w:p w14:paraId="367D9597"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0AE08931" w14:textId="7E618CF6" w:rsidR="00083F35" w:rsidRPr="003A3B73" w:rsidRDefault="00063E46"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Duration and type of framework contract (single supplier or multi-supplier framework contract) if framework contract is to be awarded</w:t>
            </w:r>
            <w:r w:rsidR="004511C2" w:rsidRPr="003A3B73">
              <w:rPr>
                <w:rFonts w:ascii="Times New Roman" w:hAnsi="Times New Roman" w:cs="Times New Roman"/>
                <w:sz w:val="24"/>
                <w:szCs w:val="24"/>
                <w:lang w:val="en-GB"/>
              </w:rPr>
              <w:t>:</w:t>
            </w:r>
          </w:p>
        </w:tc>
      </w:tr>
      <w:tr w:rsidR="002D6E25" w:rsidRPr="003A3B73" w14:paraId="7A683CF3" w14:textId="77777777" w:rsidTr="00FA28F2">
        <w:trPr>
          <w:trHeight w:val="508"/>
        </w:trPr>
        <w:tc>
          <w:tcPr>
            <w:tcW w:w="311" w:type="pct"/>
            <w:shd w:val="clear" w:color="auto" w:fill="FFFFFF"/>
            <w:tcMar>
              <w:top w:w="0" w:type="dxa"/>
              <w:left w:w="108" w:type="dxa"/>
              <w:bottom w:w="0" w:type="dxa"/>
              <w:right w:w="108" w:type="dxa"/>
            </w:tcMar>
          </w:tcPr>
          <w:p w14:paraId="70FF0AA3"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C6D9F1"/>
            <w:tcMar>
              <w:top w:w="0" w:type="dxa"/>
              <w:left w:w="108" w:type="dxa"/>
              <w:bottom w:w="0" w:type="dxa"/>
              <w:right w:w="108" w:type="dxa"/>
            </w:tcMar>
          </w:tcPr>
          <w:p w14:paraId="0347F3FF" w14:textId="4AEE82BC" w:rsidR="002D6E25" w:rsidRPr="003A3B73" w:rsidRDefault="00063E46"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Not applicable</w:t>
            </w:r>
          </w:p>
        </w:tc>
      </w:tr>
      <w:tr w:rsidR="002D6E25" w:rsidRPr="003A3B73" w14:paraId="040AB160" w14:textId="77777777" w:rsidTr="00FA28F2">
        <w:trPr>
          <w:trHeight w:val="238"/>
        </w:trPr>
        <w:tc>
          <w:tcPr>
            <w:tcW w:w="311" w:type="pct"/>
            <w:shd w:val="clear" w:color="auto" w:fill="FFFFFF"/>
            <w:tcMar>
              <w:top w:w="0" w:type="dxa"/>
              <w:left w:w="108" w:type="dxa"/>
              <w:bottom w:w="0" w:type="dxa"/>
              <w:right w:w="108" w:type="dxa"/>
            </w:tcMar>
          </w:tcPr>
          <w:p w14:paraId="0BF722C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22FDF773"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584A1A22" w14:textId="77777777" w:rsidTr="00FA28F2">
        <w:trPr>
          <w:trHeight w:val="570"/>
        </w:trPr>
        <w:tc>
          <w:tcPr>
            <w:tcW w:w="311" w:type="pct"/>
            <w:shd w:val="clear" w:color="auto" w:fill="FFFFFF"/>
            <w:tcMar>
              <w:top w:w="0" w:type="dxa"/>
              <w:left w:w="108" w:type="dxa"/>
              <w:bottom w:w="0" w:type="dxa"/>
              <w:right w:w="108" w:type="dxa"/>
            </w:tcMar>
          </w:tcPr>
          <w:p w14:paraId="29436500"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19868286" w14:textId="61A36971" w:rsidR="002D6E25" w:rsidRPr="003A3B73" w:rsidRDefault="00D00FAA"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Eligibility criteria</w:t>
            </w:r>
            <w:r w:rsidR="004511C2" w:rsidRPr="003A3B73">
              <w:rPr>
                <w:rFonts w:ascii="Times New Roman" w:hAnsi="Times New Roman" w:cs="Times New Roman"/>
                <w:sz w:val="24"/>
                <w:szCs w:val="24"/>
                <w:lang w:val="en-GB"/>
              </w:rPr>
              <w:t>:</w:t>
            </w:r>
          </w:p>
        </w:tc>
      </w:tr>
      <w:tr w:rsidR="002D6E25" w:rsidRPr="003A3B73" w14:paraId="5DAB5F6E" w14:textId="77777777" w:rsidTr="00FA28F2">
        <w:trPr>
          <w:trHeight w:val="421"/>
        </w:trPr>
        <w:tc>
          <w:tcPr>
            <w:tcW w:w="311" w:type="pct"/>
            <w:shd w:val="clear" w:color="auto" w:fill="FFFFFF"/>
            <w:tcMar>
              <w:top w:w="0" w:type="dxa"/>
              <w:left w:w="108" w:type="dxa"/>
              <w:bottom w:w="0" w:type="dxa"/>
              <w:right w:w="108" w:type="dxa"/>
            </w:tcMar>
          </w:tcPr>
          <w:p w14:paraId="2DD960D2"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C6D9F1"/>
            <w:tcMar>
              <w:top w:w="0" w:type="dxa"/>
              <w:left w:w="108" w:type="dxa"/>
              <w:bottom w:w="0" w:type="dxa"/>
              <w:right w:w="108" w:type="dxa"/>
            </w:tcMar>
          </w:tcPr>
          <w:p w14:paraId="0764234C" w14:textId="4C0A181C" w:rsidR="00F715B5" w:rsidRPr="003A3B73" w:rsidRDefault="00D00FAA" w:rsidP="009C7B75">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Participation is open to all interested persons participating either individually or in a group (joint venture/consortium) who </w:t>
            </w:r>
            <w:r w:rsidR="005F770E" w:rsidRPr="003A3B73">
              <w:rPr>
                <w:rFonts w:ascii="Times New Roman" w:hAnsi="Times New Roman" w:cs="Times New Roman"/>
                <w:sz w:val="24"/>
                <w:szCs w:val="24"/>
                <w:lang w:val="en-GB"/>
              </w:rPr>
              <w:t>fulfil</w:t>
            </w:r>
            <w:r w:rsidRPr="003A3B73">
              <w:rPr>
                <w:rFonts w:ascii="Times New Roman" w:hAnsi="Times New Roman" w:cs="Times New Roman"/>
                <w:sz w:val="24"/>
                <w:szCs w:val="24"/>
                <w:lang w:val="en-GB"/>
              </w:rPr>
              <w:t xml:space="preserve"> the following criteria as stated in the </w:t>
            </w:r>
            <w:r w:rsidRPr="003A3B73">
              <w:rPr>
                <w:rFonts w:ascii="Times New Roman" w:hAnsi="Times New Roman" w:cs="Times New Roman"/>
                <w:b/>
                <w:i/>
                <w:sz w:val="24"/>
                <w:szCs w:val="24"/>
                <w:lang w:val="en-GB"/>
              </w:rPr>
              <w:t>Volume 1, Section 1.</w:t>
            </w:r>
            <w:r w:rsidR="00AC7FB5" w:rsidRPr="003A3B73">
              <w:rPr>
                <w:rFonts w:ascii="Times New Roman" w:hAnsi="Times New Roman" w:cs="Times New Roman"/>
                <w:b/>
                <w:i/>
                <w:sz w:val="24"/>
                <w:szCs w:val="24"/>
                <w:lang w:val="en-GB"/>
              </w:rPr>
              <w:t xml:space="preserve"> </w:t>
            </w:r>
            <w:r w:rsidRPr="003A3B73">
              <w:rPr>
                <w:rFonts w:ascii="Times New Roman" w:hAnsi="Times New Roman" w:cs="Times New Roman"/>
                <w:b/>
                <w:i/>
                <w:sz w:val="24"/>
                <w:szCs w:val="24"/>
                <w:lang w:val="en-GB"/>
              </w:rPr>
              <w:t>Instructions to Tenderers, General part, Clause 3: Participation</w:t>
            </w:r>
            <w:r w:rsidRPr="003A3B73">
              <w:rPr>
                <w:rFonts w:ascii="Times New Roman" w:hAnsi="Times New Roman" w:cs="Times New Roman"/>
                <w:sz w:val="24"/>
                <w:szCs w:val="24"/>
                <w:lang w:val="en-GB"/>
              </w:rPr>
              <w:t xml:space="preserve"> and </w:t>
            </w:r>
            <w:r w:rsidRPr="003A3B73">
              <w:rPr>
                <w:rFonts w:ascii="Times New Roman" w:hAnsi="Times New Roman" w:cs="Times New Roman"/>
                <w:b/>
                <w:i/>
                <w:sz w:val="24"/>
                <w:szCs w:val="24"/>
                <w:lang w:val="en-GB"/>
              </w:rPr>
              <w:t xml:space="preserve">CEB Guidelines for procurement of supplies, works and services, Section 3.3: Eligibility to participate in tenders and provide supplies, works and </w:t>
            </w:r>
            <w:r w:rsidR="005F770E" w:rsidRPr="003A3B73">
              <w:rPr>
                <w:rFonts w:ascii="Times New Roman" w:hAnsi="Times New Roman" w:cs="Times New Roman"/>
                <w:b/>
                <w:i/>
                <w:sz w:val="24"/>
                <w:szCs w:val="24"/>
                <w:lang w:val="en-GB"/>
              </w:rPr>
              <w:t>services</w:t>
            </w:r>
            <w:r w:rsidR="005F770E" w:rsidRPr="003A3B73">
              <w:rPr>
                <w:rFonts w:ascii="Times New Roman" w:hAnsi="Times New Roman" w:cs="Times New Roman"/>
                <w:sz w:val="24"/>
                <w:szCs w:val="24"/>
                <w:lang w:val="en-GB"/>
              </w:rPr>
              <w:t>.</w:t>
            </w:r>
          </w:p>
          <w:p w14:paraId="18DCE4CD" w14:textId="77777777" w:rsidR="002D6E25" w:rsidRDefault="00445022" w:rsidP="009C7B75">
            <w:pPr>
              <w:spacing w:before="60" w:after="60" w:line="240" w:lineRule="auto"/>
              <w:jc w:val="both"/>
              <w:rPr>
                <w:rFonts w:ascii="Times New Roman" w:hAnsi="Times New Roman" w:cs="Times New Roman"/>
                <w:sz w:val="24"/>
                <w:szCs w:val="24"/>
                <w:lang w:val="en-GB"/>
              </w:rPr>
            </w:pPr>
            <w:hyperlink r:id="rId9" w:history="1">
              <w:r w:rsidR="0042053E" w:rsidRPr="003A3B73">
                <w:rPr>
                  <w:rStyle w:val="Hyperlink"/>
                  <w:rFonts w:ascii="Times New Roman" w:hAnsi="Times New Roman" w:cs="Times New Roman"/>
                  <w:sz w:val="24"/>
                  <w:szCs w:val="24"/>
                  <w:lang w:val="en-GB"/>
                </w:rPr>
                <w:t>http://www.coebank.org/en/about/policies-and-guidelines/projects-and-loans-policies-and-guidelines/</w:t>
              </w:r>
            </w:hyperlink>
            <w:r w:rsidR="0042053E" w:rsidRPr="003A3B73">
              <w:rPr>
                <w:rFonts w:ascii="Times New Roman" w:hAnsi="Times New Roman" w:cs="Times New Roman"/>
                <w:sz w:val="24"/>
                <w:szCs w:val="24"/>
                <w:lang w:val="en-GB"/>
              </w:rPr>
              <w:t xml:space="preserve"> </w:t>
            </w:r>
          </w:p>
          <w:p w14:paraId="27AAC745" w14:textId="6D424D95" w:rsidR="00F51E5B" w:rsidRPr="003A3B73" w:rsidRDefault="00F51E5B" w:rsidP="009C7B75">
            <w:pPr>
              <w:spacing w:before="60" w:after="60" w:line="240" w:lineRule="auto"/>
              <w:jc w:val="both"/>
              <w:rPr>
                <w:rFonts w:ascii="Times New Roman" w:hAnsi="Times New Roman" w:cs="Times New Roman"/>
                <w:color w:val="0000FF" w:themeColor="hyperlink"/>
                <w:sz w:val="24"/>
                <w:szCs w:val="24"/>
                <w:u w:val="single"/>
                <w:lang w:val="en-GB"/>
              </w:rPr>
            </w:pPr>
            <w:proofErr w:type="spellStart"/>
            <w:r w:rsidRPr="00FF661D">
              <w:rPr>
                <w:rFonts w:ascii="Times New Roman" w:hAnsi="Times New Roman"/>
                <w:sz w:val="24"/>
                <w:szCs w:val="24"/>
              </w:rPr>
              <w:t>In</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addition</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the</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Council</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of</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Europe</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Development</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Bank</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shall</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not</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provide</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or</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otherwise</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make</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funds</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available</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directly</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or</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indirectly</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to</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or</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for</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the</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benefit</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of</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an</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individual</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or</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entity</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that</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is</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subject</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to</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financial</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sanctions</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imposed</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by</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the</w:t>
            </w:r>
            <w:proofErr w:type="spellEnd"/>
            <w:r w:rsidRPr="00FF661D">
              <w:rPr>
                <w:rFonts w:ascii="Times New Roman" w:hAnsi="Times New Roman"/>
                <w:sz w:val="24"/>
                <w:szCs w:val="24"/>
              </w:rPr>
              <w:t xml:space="preserve"> EU, </w:t>
            </w:r>
            <w:proofErr w:type="spellStart"/>
            <w:r w:rsidRPr="00FF661D">
              <w:rPr>
                <w:rFonts w:ascii="Times New Roman" w:hAnsi="Times New Roman"/>
                <w:sz w:val="24"/>
                <w:szCs w:val="24"/>
              </w:rPr>
              <w:t>either</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autonomously</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or</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pursuant</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to</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the</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financial</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sanctions</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decided</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by</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the</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United</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Nations</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Security</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Council</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available</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on</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the</w:t>
            </w:r>
            <w:proofErr w:type="spellEnd"/>
            <w:r w:rsidRPr="00FF661D">
              <w:rPr>
                <w:rFonts w:ascii="Times New Roman" w:hAnsi="Times New Roman"/>
                <w:sz w:val="24"/>
                <w:szCs w:val="24"/>
              </w:rPr>
              <w:t xml:space="preserve"> EU </w:t>
            </w:r>
            <w:proofErr w:type="spellStart"/>
            <w:r w:rsidRPr="00FF661D">
              <w:rPr>
                <w:rFonts w:ascii="Times New Roman" w:hAnsi="Times New Roman"/>
                <w:sz w:val="24"/>
                <w:szCs w:val="24"/>
              </w:rPr>
              <w:t>Sanction</w:t>
            </w:r>
            <w:proofErr w:type="spellEnd"/>
            <w:r w:rsidRPr="00FF661D">
              <w:rPr>
                <w:rFonts w:ascii="Times New Roman" w:hAnsi="Times New Roman"/>
                <w:sz w:val="24"/>
                <w:szCs w:val="24"/>
              </w:rPr>
              <w:t xml:space="preserve"> </w:t>
            </w:r>
            <w:proofErr w:type="spellStart"/>
            <w:r w:rsidRPr="00FF661D">
              <w:rPr>
                <w:rFonts w:ascii="Times New Roman" w:hAnsi="Times New Roman"/>
                <w:sz w:val="24"/>
                <w:szCs w:val="24"/>
              </w:rPr>
              <w:t>list</w:t>
            </w:r>
            <w:proofErr w:type="spellEnd"/>
            <w:r w:rsidRPr="00FF661D">
              <w:rPr>
                <w:rFonts w:ascii="Times New Roman" w:hAnsi="Times New Roman"/>
                <w:sz w:val="24"/>
                <w:szCs w:val="24"/>
              </w:rPr>
              <w:t xml:space="preserve">: </w:t>
            </w:r>
            <w:hyperlink r:id="rId10" w:anchor="/main" w:history="1">
              <w:r w:rsidRPr="00FF661D">
                <w:rPr>
                  <w:rStyle w:val="Hyperlink"/>
                  <w:rFonts w:ascii="Times New Roman" w:hAnsi="Times New Roman"/>
                  <w:sz w:val="24"/>
                  <w:szCs w:val="24"/>
                </w:rPr>
                <w:t>https://www.sanctionsmap.eu/#/main</w:t>
              </w:r>
            </w:hyperlink>
            <w:r w:rsidRPr="00FF661D">
              <w:rPr>
                <w:rFonts w:ascii="Times New Roman" w:hAnsi="Times New Roman"/>
                <w:sz w:val="24"/>
                <w:szCs w:val="24"/>
              </w:rPr>
              <w:t>.</w:t>
            </w:r>
          </w:p>
        </w:tc>
      </w:tr>
      <w:tr w:rsidR="002D6E25" w:rsidRPr="003A3B73" w14:paraId="3E44DA15" w14:textId="77777777" w:rsidTr="00FA28F2">
        <w:trPr>
          <w:trHeight w:val="236"/>
        </w:trPr>
        <w:tc>
          <w:tcPr>
            <w:tcW w:w="311" w:type="pct"/>
            <w:shd w:val="clear" w:color="auto" w:fill="FFFFFF"/>
            <w:tcMar>
              <w:top w:w="0" w:type="dxa"/>
              <w:left w:w="108" w:type="dxa"/>
              <w:bottom w:w="0" w:type="dxa"/>
              <w:right w:w="108" w:type="dxa"/>
            </w:tcMar>
          </w:tcPr>
          <w:p w14:paraId="1278F61A"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5AF8C23C" w14:textId="77777777" w:rsidR="00553B7D" w:rsidRDefault="00553B7D" w:rsidP="009C6217">
            <w:pPr>
              <w:spacing w:before="60" w:after="60" w:line="240" w:lineRule="auto"/>
              <w:rPr>
                <w:rFonts w:ascii="Times New Roman" w:hAnsi="Times New Roman" w:cs="Times New Roman"/>
                <w:sz w:val="24"/>
                <w:szCs w:val="24"/>
                <w:lang w:val="en-GB"/>
              </w:rPr>
            </w:pPr>
          </w:p>
          <w:p w14:paraId="14405AC8" w14:textId="77777777" w:rsidR="000359A7" w:rsidRDefault="000359A7" w:rsidP="009C6217">
            <w:pPr>
              <w:spacing w:before="60" w:after="60" w:line="240" w:lineRule="auto"/>
              <w:rPr>
                <w:rFonts w:ascii="Times New Roman" w:hAnsi="Times New Roman" w:cs="Times New Roman"/>
                <w:sz w:val="24"/>
                <w:szCs w:val="24"/>
                <w:lang w:val="en-GB"/>
              </w:rPr>
            </w:pPr>
          </w:p>
          <w:p w14:paraId="03E75C1D" w14:textId="77777777" w:rsidR="000359A7" w:rsidRDefault="000359A7" w:rsidP="009C6217">
            <w:pPr>
              <w:spacing w:before="60" w:after="60" w:line="240" w:lineRule="auto"/>
              <w:rPr>
                <w:rFonts w:ascii="Times New Roman" w:hAnsi="Times New Roman" w:cs="Times New Roman"/>
                <w:sz w:val="24"/>
                <w:szCs w:val="24"/>
                <w:lang w:val="en-GB"/>
              </w:rPr>
            </w:pPr>
          </w:p>
          <w:p w14:paraId="4585EF94" w14:textId="77777777" w:rsidR="000359A7" w:rsidRPr="003A3B73" w:rsidRDefault="000359A7" w:rsidP="009C6217">
            <w:pPr>
              <w:spacing w:before="60" w:after="60" w:line="240" w:lineRule="auto"/>
              <w:rPr>
                <w:rFonts w:ascii="Times New Roman" w:hAnsi="Times New Roman" w:cs="Times New Roman"/>
                <w:sz w:val="24"/>
                <w:szCs w:val="24"/>
                <w:lang w:val="en-GB"/>
              </w:rPr>
            </w:pPr>
          </w:p>
        </w:tc>
      </w:tr>
      <w:tr w:rsidR="002D6E25" w:rsidRPr="003A3B73" w14:paraId="32F9675C" w14:textId="77777777" w:rsidTr="00FA28F2">
        <w:trPr>
          <w:trHeight w:val="465"/>
        </w:trPr>
        <w:tc>
          <w:tcPr>
            <w:tcW w:w="311" w:type="pct"/>
            <w:shd w:val="clear" w:color="auto" w:fill="FFFFFF"/>
            <w:tcMar>
              <w:top w:w="0" w:type="dxa"/>
              <w:left w:w="108" w:type="dxa"/>
              <w:bottom w:w="0" w:type="dxa"/>
              <w:right w:w="108" w:type="dxa"/>
            </w:tcMar>
          </w:tcPr>
          <w:p w14:paraId="726F1EE2"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2C00BA57" w14:textId="68E1982F" w:rsidR="002D6E25" w:rsidRPr="003A3B73" w:rsidRDefault="00D00FAA"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Selection criteria</w:t>
            </w:r>
            <w:r w:rsidR="004511C2" w:rsidRPr="003A3B73">
              <w:rPr>
                <w:rFonts w:ascii="Times New Roman" w:hAnsi="Times New Roman" w:cs="Times New Roman"/>
                <w:sz w:val="24"/>
                <w:szCs w:val="24"/>
                <w:lang w:val="en-GB"/>
              </w:rPr>
              <w:t>:</w:t>
            </w:r>
          </w:p>
        </w:tc>
      </w:tr>
      <w:tr w:rsidR="002D6E25" w:rsidRPr="003A3B73" w14:paraId="26E5D886" w14:textId="77777777" w:rsidTr="00FA28F2">
        <w:trPr>
          <w:trHeight w:val="392"/>
        </w:trPr>
        <w:tc>
          <w:tcPr>
            <w:tcW w:w="311" w:type="pct"/>
            <w:shd w:val="clear" w:color="auto" w:fill="FFFFFF"/>
            <w:tcMar>
              <w:top w:w="0" w:type="dxa"/>
              <w:left w:w="108" w:type="dxa"/>
              <w:bottom w:w="0" w:type="dxa"/>
              <w:right w:w="108" w:type="dxa"/>
            </w:tcMar>
          </w:tcPr>
          <w:p w14:paraId="24FF0067"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C6D9F1"/>
            <w:tcMar>
              <w:top w:w="0" w:type="dxa"/>
              <w:left w:w="108" w:type="dxa"/>
              <w:bottom w:w="0" w:type="dxa"/>
              <w:right w:w="108" w:type="dxa"/>
            </w:tcMar>
          </w:tcPr>
          <w:p w14:paraId="5753EB4C" w14:textId="674A6D4B" w:rsidR="00AC7FB5" w:rsidRDefault="00D00FAA" w:rsidP="009F20E4">
            <w:pPr>
              <w:tabs>
                <w:tab w:val="clear" w:pos="720"/>
              </w:tabs>
              <w:suppressAutoHyphens w:val="0"/>
              <w:spacing w:after="120" w:line="240" w:lineRule="auto"/>
              <w:jc w:val="both"/>
              <w:rPr>
                <w:rFonts w:ascii="Times New Roman" w:hAnsi="Times New Roman" w:cs="Times New Roman"/>
                <w:b/>
                <w:sz w:val="24"/>
                <w:szCs w:val="24"/>
              </w:rPr>
            </w:pPr>
            <w:proofErr w:type="spellStart"/>
            <w:r w:rsidRPr="009F20E4">
              <w:rPr>
                <w:rFonts w:ascii="Times New Roman" w:hAnsi="Times New Roman" w:cs="Times New Roman"/>
                <w:b/>
                <w:sz w:val="24"/>
                <w:szCs w:val="24"/>
              </w:rPr>
              <w:t>Financial</w:t>
            </w:r>
            <w:proofErr w:type="spellEnd"/>
            <w:r w:rsidRPr="009F20E4">
              <w:rPr>
                <w:rFonts w:ascii="Times New Roman" w:hAnsi="Times New Roman" w:cs="Times New Roman"/>
                <w:b/>
                <w:sz w:val="24"/>
                <w:szCs w:val="24"/>
              </w:rPr>
              <w:t xml:space="preserve"> </w:t>
            </w:r>
            <w:proofErr w:type="spellStart"/>
            <w:r w:rsidRPr="009F20E4">
              <w:rPr>
                <w:rFonts w:ascii="Times New Roman" w:hAnsi="Times New Roman" w:cs="Times New Roman"/>
                <w:b/>
                <w:sz w:val="24"/>
                <w:szCs w:val="24"/>
              </w:rPr>
              <w:t>capacity</w:t>
            </w:r>
            <w:proofErr w:type="spellEnd"/>
            <w:r w:rsidRPr="009F20E4">
              <w:rPr>
                <w:rFonts w:ascii="Times New Roman" w:hAnsi="Times New Roman" w:cs="Times New Roman"/>
                <w:b/>
                <w:sz w:val="24"/>
                <w:szCs w:val="24"/>
              </w:rPr>
              <w:t xml:space="preserve">. </w:t>
            </w:r>
          </w:p>
          <w:p w14:paraId="7AED6485" w14:textId="77777777" w:rsidR="000359A7" w:rsidRPr="009F20E4" w:rsidRDefault="000359A7" w:rsidP="009F20E4">
            <w:pPr>
              <w:tabs>
                <w:tab w:val="clear" w:pos="720"/>
              </w:tabs>
              <w:suppressAutoHyphens w:val="0"/>
              <w:spacing w:after="120" w:line="240" w:lineRule="auto"/>
              <w:jc w:val="both"/>
              <w:rPr>
                <w:rFonts w:ascii="Times New Roman" w:hAnsi="Times New Roman" w:cs="Times New Roman"/>
                <w:sz w:val="24"/>
                <w:szCs w:val="24"/>
              </w:rPr>
            </w:pPr>
          </w:p>
          <w:p w14:paraId="5277AD42" w14:textId="3A2C60B2" w:rsidR="00D00FAA" w:rsidRPr="003A3B73" w:rsidRDefault="00D00FAA" w:rsidP="009F20E4">
            <w:pPr>
              <w:numPr>
                <w:ilvl w:val="0"/>
                <w:numId w:val="12"/>
              </w:numPr>
              <w:tabs>
                <w:tab w:val="clear" w:pos="720"/>
              </w:tabs>
              <w:suppressAutoHyphens w:val="0"/>
              <w:spacing w:after="0"/>
              <w:contextualSpacing/>
              <w:rPr>
                <w:rFonts w:ascii="Times New Roman" w:hAnsi="Times New Roman" w:cs="Times New Roman"/>
                <w:sz w:val="24"/>
                <w:szCs w:val="24"/>
                <w:lang w:val="en-GB"/>
              </w:rPr>
            </w:pPr>
            <w:r w:rsidRPr="003A3B73">
              <w:rPr>
                <w:rFonts w:ascii="Times New Roman" w:hAnsi="Times New Roman" w:cs="Times New Roman"/>
                <w:b/>
                <w:sz w:val="24"/>
                <w:szCs w:val="24"/>
                <w:lang w:val="en-GB"/>
              </w:rPr>
              <w:t>Bankruptcy and liquidation</w:t>
            </w:r>
            <w:r w:rsidRPr="003A3B73">
              <w:rPr>
                <w:rFonts w:ascii="Times New Roman" w:hAnsi="Times New Roman" w:cs="Times New Roman"/>
                <w:sz w:val="24"/>
                <w:szCs w:val="24"/>
                <w:lang w:val="en-GB"/>
              </w:rPr>
              <w:t>. That there are no current bankruptcy or liquidation procedures conducted over the tenderer, i.e.</w:t>
            </w:r>
            <w:r w:rsidR="00D71BA7" w:rsidRPr="003A3B73">
              <w:rPr>
                <w:rFonts w:ascii="Times New Roman" w:hAnsi="Times New Roman" w:cs="Times New Roman"/>
                <w:sz w:val="24"/>
                <w:szCs w:val="24"/>
                <w:lang w:val="en-GB"/>
              </w:rPr>
              <w:t xml:space="preserve"> previous bankruptcy procedure.</w:t>
            </w:r>
          </w:p>
          <w:p w14:paraId="0126B65A" w14:textId="2D4FCA63" w:rsidR="00D00FAA" w:rsidRDefault="00D00FAA" w:rsidP="009F20E4">
            <w:p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after="0"/>
              <w:ind w:left="709"/>
              <w:jc w:val="both"/>
              <w:outlineLvl w:val="3"/>
              <w:rPr>
                <w:rFonts w:ascii="Times New Roman" w:eastAsia="Times New Roman" w:hAnsi="Times New Roman" w:cs="Times New Roman"/>
                <w:color w:val="auto"/>
                <w:sz w:val="24"/>
                <w:lang w:val="en-GB"/>
              </w:rPr>
            </w:pPr>
            <w:r w:rsidRPr="003A3B73">
              <w:rPr>
                <w:rFonts w:ascii="Times New Roman" w:hAnsi="Times New Roman" w:cs="Times New Roman"/>
                <w:sz w:val="24"/>
                <w:szCs w:val="24"/>
                <w:lang w:val="en-GB"/>
              </w:rPr>
              <w:t>This provision refers to all tenderers from a joint tender/consortium and to all subcontractors</w:t>
            </w:r>
            <w:r w:rsidRPr="003A3B73">
              <w:rPr>
                <w:rFonts w:ascii="Times New Roman" w:eastAsia="Times New Roman" w:hAnsi="Times New Roman" w:cs="Times New Roman"/>
                <w:color w:val="auto"/>
                <w:sz w:val="24"/>
                <w:lang w:val="en-GB"/>
              </w:rPr>
              <w:t>.</w:t>
            </w:r>
          </w:p>
          <w:p w14:paraId="00362CCB" w14:textId="77777777" w:rsidR="000359A7" w:rsidRPr="009F20E4" w:rsidRDefault="000359A7" w:rsidP="009F20E4">
            <w:p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after="0"/>
              <w:ind w:left="709"/>
              <w:jc w:val="both"/>
              <w:outlineLvl w:val="3"/>
              <w:rPr>
                <w:rFonts w:ascii="Times New Roman" w:eastAsia="Times New Roman" w:hAnsi="Times New Roman" w:cs="Times New Roman"/>
                <w:color w:val="auto"/>
                <w:sz w:val="24"/>
                <w:lang w:val="en-GB"/>
              </w:rPr>
            </w:pPr>
          </w:p>
          <w:p w14:paraId="51E26612" w14:textId="4D3E326A" w:rsidR="00D71BA7" w:rsidRPr="003A3B73" w:rsidRDefault="00D71BA7" w:rsidP="009F20E4">
            <w:pPr>
              <w:numPr>
                <w:ilvl w:val="0"/>
                <w:numId w:val="12"/>
              </w:numPr>
              <w:spacing w:after="0"/>
              <w:contextualSpacing/>
              <w:rPr>
                <w:rFonts w:ascii="Times New Roman" w:hAnsi="Times New Roman" w:cs="Times New Roman"/>
                <w:sz w:val="24"/>
                <w:szCs w:val="24"/>
                <w:lang w:val="en-GB"/>
              </w:rPr>
            </w:pPr>
            <w:r w:rsidRPr="003A3B73">
              <w:rPr>
                <w:rFonts w:ascii="Times New Roman" w:hAnsi="Times New Roman" w:cs="Times New Roman"/>
                <w:b/>
                <w:sz w:val="24"/>
                <w:szCs w:val="24"/>
                <w:lang w:val="en-GB"/>
              </w:rPr>
              <w:t>Liquidity</w:t>
            </w:r>
            <w:r w:rsidRPr="003A3B73">
              <w:rPr>
                <w:rFonts w:ascii="Times New Roman" w:hAnsi="Times New Roman" w:cs="Times New Roman"/>
                <w:sz w:val="24"/>
                <w:szCs w:val="24"/>
                <w:lang w:val="en-GB"/>
              </w:rPr>
              <w:t>: That the tenderer did not have his account blocked in the last 12 (twelve) months prior to the day of publi</w:t>
            </w:r>
            <w:r w:rsidR="0066497A" w:rsidRPr="003A3B73">
              <w:rPr>
                <w:rFonts w:ascii="Times New Roman" w:hAnsi="Times New Roman" w:cs="Times New Roman"/>
                <w:sz w:val="24"/>
                <w:szCs w:val="24"/>
                <w:lang w:val="en-GB"/>
              </w:rPr>
              <w:t xml:space="preserve">cation of the </w:t>
            </w:r>
            <w:r w:rsidR="00A54B92" w:rsidRPr="003A3B73">
              <w:rPr>
                <w:rFonts w:ascii="Times New Roman" w:hAnsi="Times New Roman" w:cs="Times New Roman"/>
                <w:sz w:val="24"/>
                <w:szCs w:val="24"/>
                <w:lang w:val="en-GB"/>
              </w:rPr>
              <w:t>Tender</w:t>
            </w:r>
            <w:r w:rsidR="0066497A" w:rsidRPr="003A3B73">
              <w:rPr>
                <w:rFonts w:ascii="Times New Roman" w:hAnsi="Times New Roman" w:cs="Times New Roman"/>
                <w:sz w:val="24"/>
                <w:szCs w:val="24"/>
                <w:lang w:val="en-GB"/>
              </w:rPr>
              <w:t xml:space="preserve"> Notice</w:t>
            </w:r>
            <w:r w:rsidRPr="003A3B73">
              <w:rPr>
                <w:rFonts w:ascii="Times New Roman" w:hAnsi="Times New Roman" w:cs="Times New Roman"/>
                <w:sz w:val="24"/>
                <w:szCs w:val="24"/>
                <w:lang w:val="en-GB"/>
              </w:rPr>
              <w:t xml:space="preserve">. </w:t>
            </w:r>
          </w:p>
          <w:p w14:paraId="7572ADB5" w14:textId="77777777" w:rsidR="00D71BA7" w:rsidRDefault="00D71BA7" w:rsidP="00D71BA7">
            <w:pPr>
              <w:spacing w:after="0"/>
              <w:ind w:left="720"/>
              <w:contextualSpacing/>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This provision refers to all tenderers from a joint tender/consortium and to all subcontractors. </w:t>
            </w:r>
          </w:p>
          <w:p w14:paraId="39611F92" w14:textId="77777777" w:rsidR="000359A7" w:rsidRPr="003A3B73" w:rsidRDefault="000359A7" w:rsidP="00D71BA7">
            <w:pPr>
              <w:spacing w:after="0"/>
              <w:ind w:left="720"/>
              <w:contextualSpacing/>
              <w:rPr>
                <w:rFonts w:ascii="Times New Roman" w:hAnsi="Times New Roman" w:cs="Times New Roman"/>
                <w:sz w:val="24"/>
                <w:szCs w:val="24"/>
                <w:lang w:val="en-GB"/>
              </w:rPr>
            </w:pPr>
          </w:p>
          <w:p w14:paraId="42180164" w14:textId="17ECDE49" w:rsidR="009F20E4" w:rsidRPr="000359A7" w:rsidRDefault="00BB0E18" w:rsidP="009F20E4">
            <w:pPr>
              <w:pStyle w:val="ListParagraph"/>
              <w:numPr>
                <w:ilvl w:val="0"/>
                <w:numId w:val="12"/>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BE794D">
              <w:rPr>
                <w:rFonts w:ascii="Times New Roman" w:eastAsia="Times New Roman" w:hAnsi="Times New Roman" w:cs="Times New Roman"/>
                <w:b/>
                <w:color w:val="000000" w:themeColor="text1"/>
                <w:sz w:val="24"/>
                <w:lang w:val="sr-Latn-CS"/>
              </w:rPr>
              <w:t>O</w:t>
            </w:r>
            <w:proofErr w:type="spellStart"/>
            <w:r w:rsidR="003E1A7F" w:rsidRPr="00BE794D">
              <w:rPr>
                <w:rFonts w:ascii="Times New Roman" w:eastAsia="Times New Roman" w:hAnsi="Times New Roman" w:cs="Times New Roman"/>
                <w:b/>
                <w:color w:val="000000" w:themeColor="text1"/>
                <w:sz w:val="24"/>
              </w:rPr>
              <w:t>perating</w:t>
            </w:r>
            <w:proofErr w:type="spellEnd"/>
            <w:r w:rsidR="003E1A7F" w:rsidRPr="00BE794D">
              <w:rPr>
                <w:rFonts w:ascii="Times New Roman" w:eastAsia="Times New Roman" w:hAnsi="Times New Roman" w:cs="Times New Roman"/>
                <w:b/>
                <w:color w:val="000000" w:themeColor="text1"/>
                <w:sz w:val="24"/>
              </w:rPr>
              <w:t xml:space="preserve"> </w:t>
            </w:r>
            <w:proofErr w:type="spellStart"/>
            <w:r w:rsidR="003E1A7F" w:rsidRPr="00BE794D">
              <w:rPr>
                <w:rFonts w:ascii="Times New Roman" w:eastAsia="Times New Roman" w:hAnsi="Times New Roman" w:cs="Times New Roman"/>
                <w:b/>
                <w:color w:val="000000" w:themeColor="text1"/>
                <w:sz w:val="24"/>
              </w:rPr>
              <w:t>income</w:t>
            </w:r>
            <w:proofErr w:type="spellEnd"/>
            <w:r w:rsidR="003E1A7F" w:rsidRPr="00BE794D">
              <w:rPr>
                <w:rFonts w:ascii="Times New Roman" w:eastAsia="Times New Roman" w:hAnsi="Times New Roman" w:cs="Times New Roman"/>
                <w:b/>
                <w:color w:val="000000" w:themeColor="text1"/>
                <w:sz w:val="24"/>
              </w:rPr>
              <w:t>:</w:t>
            </w:r>
            <w:r w:rsidR="003E1A7F" w:rsidRPr="00BE794D">
              <w:rPr>
                <w:rFonts w:ascii="Times New Roman" w:eastAsia="Times New Roman" w:hAnsi="Times New Roman" w:cs="Times New Roman"/>
                <w:color w:val="000000" w:themeColor="text1"/>
                <w:sz w:val="24"/>
              </w:rPr>
              <w:t xml:space="preserve"> </w:t>
            </w:r>
            <w:proofErr w:type="spellStart"/>
            <w:r w:rsidR="003E1A7F" w:rsidRPr="00BE794D">
              <w:rPr>
                <w:rFonts w:ascii="Times New Roman" w:eastAsia="Times New Roman" w:hAnsi="Times New Roman" w:cs="Times New Roman"/>
                <w:snapToGrid w:val="0"/>
                <w:color w:val="000000" w:themeColor="text1"/>
                <w:sz w:val="24"/>
                <w:szCs w:val="24"/>
                <w:lang w:eastAsia="en-GB"/>
              </w:rPr>
              <w:t>Over</w:t>
            </w:r>
            <w:proofErr w:type="spellEnd"/>
            <w:r w:rsidR="003E1A7F" w:rsidRPr="00BE794D">
              <w:rPr>
                <w:rFonts w:ascii="Times New Roman" w:eastAsia="Times New Roman" w:hAnsi="Times New Roman" w:cs="Times New Roman"/>
                <w:snapToGrid w:val="0"/>
                <w:color w:val="000000" w:themeColor="text1"/>
                <w:sz w:val="24"/>
                <w:szCs w:val="24"/>
                <w:lang w:eastAsia="en-GB"/>
              </w:rPr>
              <w:t xml:space="preserve"> </w:t>
            </w:r>
            <w:proofErr w:type="spellStart"/>
            <w:r w:rsidR="003E1A7F" w:rsidRPr="00BE794D">
              <w:rPr>
                <w:rFonts w:ascii="Times New Roman" w:eastAsia="Times New Roman" w:hAnsi="Times New Roman" w:cs="Times New Roman"/>
                <w:snapToGrid w:val="0"/>
                <w:color w:val="000000" w:themeColor="text1"/>
                <w:sz w:val="24"/>
                <w:szCs w:val="24"/>
                <w:lang w:eastAsia="en-GB"/>
              </w:rPr>
              <w:t>t</w:t>
            </w:r>
            <w:r w:rsidR="00196F6E" w:rsidRPr="00BE794D">
              <w:rPr>
                <w:rFonts w:ascii="Times New Roman" w:eastAsia="Times New Roman" w:hAnsi="Times New Roman" w:cs="Times New Roman"/>
                <w:snapToGrid w:val="0"/>
                <w:color w:val="000000" w:themeColor="text1"/>
                <w:sz w:val="24"/>
                <w:szCs w:val="24"/>
                <w:lang w:eastAsia="en-GB"/>
              </w:rPr>
              <w:t>he</w:t>
            </w:r>
            <w:proofErr w:type="spellEnd"/>
            <w:r w:rsidR="00196F6E" w:rsidRPr="00BE794D">
              <w:rPr>
                <w:rFonts w:ascii="Times New Roman" w:eastAsia="Times New Roman" w:hAnsi="Times New Roman" w:cs="Times New Roman"/>
                <w:snapToGrid w:val="0"/>
                <w:color w:val="000000" w:themeColor="text1"/>
                <w:sz w:val="24"/>
                <w:szCs w:val="24"/>
                <w:lang w:eastAsia="en-GB"/>
              </w:rPr>
              <w:t xml:space="preserve"> </w:t>
            </w:r>
            <w:proofErr w:type="spellStart"/>
            <w:r w:rsidR="00196F6E" w:rsidRPr="00BE794D">
              <w:rPr>
                <w:rFonts w:ascii="Times New Roman" w:eastAsia="Times New Roman" w:hAnsi="Times New Roman" w:cs="Times New Roman"/>
                <w:snapToGrid w:val="0"/>
                <w:color w:val="000000" w:themeColor="text1"/>
                <w:sz w:val="24"/>
                <w:szCs w:val="24"/>
                <w:lang w:eastAsia="en-GB"/>
              </w:rPr>
              <w:t>past</w:t>
            </w:r>
            <w:proofErr w:type="spellEnd"/>
            <w:r w:rsidR="00196F6E" w:rsidRPr="00BE794D">
              <w:rPr>
                <w:rFonts w:ascii="Times New Roman" w:eastAsia="Times New Roman" w:hAnsi="Times New Roman" w:cs="Times New Roman"/>
                <w:snapToGrid w:val="0"/>
                <w:color w:val="000000" w:themeColor="text1"/>
                <w:sz w:val="24"/>
                <w:szCs w:val="24"/>
                <w:lang w:eastAsia="en-GB"/>
              </w:rPr>
              <w:t xml:space="preserve"> </w:t>
            </w:r>
            <w:proofErr w:type="spellStart"/>
            <w:r w:rsidR="00196F6E" w:rsidRPr="00BE794D">
              <w:rPr>
                <w:rFonts w:ascii="Times New Roman" w:eastAsia="Times New Roman" w:hAnsi="Times New Roman" w:cs="Times New Roman"/>
                <w:snapToGrid w:val="0"/>
                <w:color w:val="000000" w:themeColor="text1"/>
                <w:sz w:val="24"/>
                <w:szCs w:val="24"/>
                <w:lang w:eastAsia="en-GB"/>
              </w:rPr>
              <w:t>three</w:t>
            </w:r>
            <w:proofErr w:type="spellEnd"/>
            <w:r w:rsidR="00196F6E" w:rsidRPr="00BE794D">
              <w:rPr>
                <w:rFonts w:ascii="Times New Roman" w:eastAsia="Times New Roman" w:hAnsi="Times New Roman" w:cs="Times New Roman"/>
                <w:snapToGrid w:val="0"/>
                <w:color w:val="000000" w:themeColor="text1"/>
                <w:sz w:val="24"/>
                <w:szCs w:val="24"/>
                <w:lang w:eastAsia="en-GB"/>
              </w:rPr>
              <w:t xml:space="preserve"> </w:t>
            </w:r>
            <w:proofErr w:type="spellStart"/>
            <w:r w:rsidR="00196F6E" w:rsidRPr="00BE794D">
              <w:rPr>
                <w:rFonts w:ascii="Times New Roman" w:eastAsia="Times New Roman" w:hAnsi="Times New Roman" w:cs="Times New Roman"/>
                <w:snapToGrid w:val="0"/>
                <w:color w:val="000000" w:themeColor="text1"/>
                <w:sz w:val="24"/>
                <w:szCs w:val="24"/>
                <w:lang w:eastAsia="en-GB"/>
              </w:rPr>
              <w:t>fiscal</w:t>
            </w:r>
            <w:proofErr w:type="spellEnd"/>
            <w:r w:rsidR="00196F6E" w:rsidRPr="00BE794D">
              <w:rPr>
                <w:rFonts w:ascii="Times New Roman" w:eastAsia="Times New Roman" w:hAnsi="Times New Roman" w:cs="Times New Roman"/>
                <w:snapToGrid w:val="0"/>
                <w:color w:val="000000" w:themeColor="text1"/>
                <w:sz w:val="24"/>
                <w:szCs w:val="24"/>
                <w:lang w:eastAsia="en-GB"/>
              </w:rPr>
              <w:t xml:space="preserve"> </w:t>
            </w:r>
            <w:proofErr w:type="spellStart"/>
            <w:r w:rsidR="00196F6E" w:rsidRPr="00BE794D">
              <w:rPr>
                <w:rFonts w:ascii="Times New Roman" w:eastAsia="Times New Roman" w:hAnsi="Times New Roman" w:cs="Times New Roman"/>
                <w:snapToGrid w:val="0"/>
                <w:color w:val="000000" w:themeColor="text1"/>
                <w:sz w:val="24"/>
                <w:szCs w:val="24"/>
                <w:lang w:eastAsia="en-GB"/>
              </w:rPr>
              <w:t>years</w:t>
            </w:r>
            <w:proofErr w:type="spellEnd"/>
            <w:r w:rsidR="00196F6E" w:rsidRPr="00BE794D">
              <w:rPr>
                <w:rFonts w:ascii="Times New Roman" w:eastAsia="Times New Roman" w:hAnsi="Times New Roman" w:cs="Times New Roman"/>
                <w:snapToGrid w:val="0"/>
                <w:color w:val="000000" w:themeColor="text1"/>
                <w:sz w:val="24"/>
                <w:szCs w:val="24"/>
                <w:lang w:eastAsia="en-GB"/>
              </w:rPr>
              <w:t xml:space="preserve"> (201</w:t>
            </w:r>
            <w:r w:rsidR="009F20E4">
              <w:rPr>
                <w:rFonts w:ascii="Times New Roman" w:eastAsia="Times New Roman" w:hAnsi="Times New Roman" w:cs="Times New Roman"/>
                <w:snapToGrid w:val="0"/>
                <w:color w:val="000000" w:themeColor="text1"/>
                <w:sz w:val="24"/>
                <w:szCs w:val="24"/>
                <w:lang w:val="en-US" w:eastAsia="en-GB"/>
              </w:rPr>
              <w:t>7</w:t>
            </w:r>
            <w:r w:rsidR="00196F6E" w:rsidRPr="00BE794D">
              <w:rPr>
                <w:rFonts w:ascii="Times New Roman" w:eastAsia="Times New Roman" w:hAnsi="Times New Roman" w:cs="Times New Roman"/>
                <w:snapToGrid w:val="0"/>
                <w:color w:val="000000" w:themeColor="text1"/>
                <w:sz w:val="24"/>
                <w:szCs w:val="24"/>
                <w:lang w:eastAsia="en-GB"/>
              </w:rPr>
              <w:t>, 201</w:t>
            </w:r>
            <w:r w:rsidR="009F20E4">
              <w:rPr>
                <w:rFonts w:ascii="Times New Roman" w:eastAsia="Times New Roman" w:hAnsi="Times New Roman" w:cs="Times New Roman"/>
                <w:snapToGrid w:val="0"/>
                <w:color w:val="000000" w:themeColor="text1"/>
                <w:sz w:val="24"/>
                <w:szCs w:val="24"/>
                <w:lang w:val="en-US" w:eastAsia="en-GB"/>
              </w:rPr>
              <w:t>8</w:t>
            </w:r>
            <w:r w:rsidR="00196F6E" w:rsidRPr="00BE794D">
              <w:rPr>
                <w:rFonts w:ascii="Times New Roman" w:eastAsia="Times New Roman" w:hAnsi="Times New Roman" w:cs="Times New Roman"/>
                <w:snapToGrid w:val="0"/>
                <w:color w:val="000000" w:themeColor="text1"/>
                <w:sz w:val="24"/>
                <w:szCs w:val="24"/>
                <w:lang w:eastAsia="en-GB"/>
              </w:rPr>
              <w:t xml:space="preserve"> </w:t>
            </w:r>
            <w:proofErr w:type="spellStart"/>
            <w:r w:rsidR="00196F6E" w:rsidRPr="00BE794D">
              <w:rPr>
                <w:rFonts w:ascii="Times New Roman" w:eastAsia="Times New Roman" w:hAnsi="Times New Roman" w:cs="Times New Roman"/>
                <w:snapToGrid w:val="0"/>
                <w:color w:val="000000" w:themeColor="text1"/>
                <w:sz w:val="24"/>
                <w:szCs w:val="24"/>
                <w:lang w:eastAsia="en-GB"/>
              </w:rPr>
              <w:t>and</w:t>
            </w:r>
            <w:proofErr w:type="spellEnd"/>
            <w:r w:rsidR="00196F6E" w:rsidRPr="00BE794D">
              <w:rPr>
                <w:rFonts w:ascii="Times New Roman" w:eastAsia="Times New Roman" w:hAnsi="Times New Roman" w:cs="Times New Roman"/>
                <w:snapToGrid w:val="0"/>
                <w:color w:val="000000" w:themeColor="text1"/>
                <w:sz w:val="24"/>
                <w:szCs w:val="24"/>
                <w:lang w:eastAsia="en-GB"/>
              </w:rPr>
              <w:t xml:space="preserve"> 201</w:t>
            </w:r>
            <w:r w:rsidR="009F20E4">
              <w:rPr>
                <w:rFonts w:ascii="Times New Roman" w:eastAsia="Times New Roman" w:hAnsi="Times New Roman" w:cs="Times New Roman"/>
                <w:snapToGrid w:val="0"/>
                <w:color w:val="000000" w:themeColor="text1"/>
                <w:sz w:val="24"/>
                <w:szCs w:val="24"/>
                <w:lang w:val="en-US" w:eastAsia="en-GB"/>
              </w:rPr>
              <w:t>9</w:t>
            </w:r>
            <w:r w:rsidR="00204596" w:rsidRPr="00BE794D">
              <w:rPr>
                <w:rFonts w:ascii="Times New Roman" w:eastAsia="Times New Roman" w:hAnsi="Times New Roman" w:cs="Times New Roman"/>
                <w:snapToGrid w:val="0"/>
                <w:color w:val="000000" w:themeColor="text1"/>
                <w:sz w:val="24"/>
                <w:szCs w:val="24"/>
                <w:lang w:eastAsia="en-GB"/>
              </w:rPr>
              <w:t xml:space="preserve">), </w:t>
            </w:r>
            <w:proofErr w:type="spellStart"/>
            <w:r w:rsidR="00204596" w:rsidRPr="00BE794D">
              <w:rPr>
                <w:rFonts w:ascii="Times New Roman" w:eastAsia="Times New Roman" w:hAnsi="Times New Roman" w:cs="Times New Roman"/>
                <w:snapToGrid w:val="0"/>
                <w:color w:val="000000" w:themeColor="text1"/>
                <w:sz w:val="24"/>
                <w:szCs w:val="24"/>
                <w:lang w:eastAsia="en-GB"/>
              </w:rPr>
              <w:t>the</w:t>
            </w:r>
            <w:proofErr w:type="spellEnd"/>
            <w:r w:rsidR="00204596" w:rsidRPr="00BE794D">
              <w:rPr>
                <w:rFonts w:ascii="Times New Roman" w:eastAsia="Times New Roman" w:hAnsi="Times New Roman" w:cs="Times New Roman"/>
                <w:snapToGrid w:val="0"/>
                <w:color w:val="000000" w:themeColor="text1"/>
                <w:sz w:val="24"/>
                <w:szCs w:val="24"/>
                <w:lang w:eastAsia="en-GB"/>
              </w:rPr>
              <w:t xml:space="preserve"> </w:t>
            </w:r>
            <w:proofErr w:type="spellStart"/>
            <w:r w:rsidR="00204596" w:rsidRPr="00BE794D">
              <w:rPr>
                <w:rFonts w:ascii="Times New Roman" w:eastAsia="Times New Roman" w:hAnsi="Times New Roman" w:cs="Times New Roman"/>
                <w:snapToGrid w:val="0"/>
                <w:color w:val="000000" w:themeColor="text1"/>
                <w:sz w:val="24"/>
                <w:szCs w:val="24"/>
                <w:lang w:eastAsia="en-GB"/>
              </w:rPr>
              <w:t>Tenderer</w:t>
            </w:r>
            <w:proofErr w:type="spellEnd"/>
            <w:r w:rsidR="00204596" w:rsidRPr="00BE794D">
              <w:rPr>
                <w:rFonts w:ascii="Times New Roman" w:eastAsia="Times New Roman" w:hAnsi="Times New Roman" w:cs="Times New Roman"/>
                <w:snapToGrid w:val="0"/>
                <w:color w:val="000000" w:themeColor="text1"/>
                <w:sz w:val="24"/>
                <w:szCs w:val="24"/>
                <w:lang w:eastAsia="en-GB"/>
              </w:rPr>
              <w:t xml:space="preserve"> </w:t>
            </w:r>
            <w:proofErr w:type="spellStart"/>
            <w:r w:rsidR="00204596" w:rsidRPr="00BE794D">
              <w:rPr>
                <w:rFonts w:ascii="Times New Roman" w:eastAsia="Times New Roman" w:hAnsi="Times New Roman" w:cs="Times New Roman"/>
                <w:snapToGrid w:val="0"/>
                <w:color w:val="000000" w:themeColor="text1"/>
                <w:sz w:val="24"/>
                <w:szCs w:val="24"/>
                <w:lang w:eastAsia="en-GB"/>
              </w:rPr>
              <w:t>had</w:t>
            </w:r>
            <w:proofErr w:type="spellEnd"/>
            <w:r w:rsidR="00204596" w:rsidRPr="00BE794D">
              <w:rPr>
                <w:rFonts w:ascii="Times New Roman" w:eastAsia="Times New Roman" w:hAnsi="Times New Roman" w:cs="Times New Roman"/>
                <w:snapToGrid w:val="0"/>
                <w:color w:val="000000" w:themeColor="text1"/>
                <w:sz w:val="24"/>
                <w:szCs w:val="24"/>
                <w:lang w:eastAsia="en-GB"/>
              </w:rPr>
              <w:t xml:space="preserve"> </w:t>
            </w:r>
            <w:proofErr w:type="spellStart"/>
            <w:r w:rsidR="00204596" w:rsidRPr="00BE794D">
              <w:rPr>
                <w:rFonts w:ascii="Times New Roman" w:eastAsia="Times New Roman" w:hAnsi="Times New Roman" w:cs="Times New Roman"/>
                <w:snapToGrid w:val="0"/>
                <w:color w:val="000000" w:themeColor="text1"/>
                <w:sz w:val="24"/>
                <w:szCs w:val="24"/>
                <w:lang w:eastAsia="en-GB"/>
              </w:rPr>
              <w:t>gained</w:t>
            </w:r>
            <w:proofErr w:type="spellEnd"/>
            <w:r w:rsidR="00204596" w:rsidRPr="00BE794D">
              <w:rPr>
                <w:rFonts w:ascii="Times New Roman" w:eastAsia="Times New Roman" w:hAnsi="Times New Roman" w:cs="Times New Roman"/>
                <w:snapToGrid w:val="0"/>
                <w:color w:val="000000" w:themeColor="text1"/>
                <w:sz w:val="24"/>
                <w:szCs w:val="24"/>
                <w:lang w:eastAsia="en-GB"/>
              </w:rPr>
              <w:t xml:space="preserve"> </w:t>
            </w:r>
            <w:proofErr w:type="spellStart"/>
            <w:r w:rsidR="00204596" w:rsidRPr="00BE794D">
              <w:rPr>
                <w:rFonts w:ascii="Times New Roman" w:eastAsia="Times New Roman" w:hAnsi="Times New Roman" w:cs="Times New Roman"/>
                <w:snapToGrid w:val="0"/>
                <w:color w:val="000000" w:themeColor="text1"/>
                <w:sz w:val="24"/>
                <w:szCs w:val="24"/>
                <w:lang w:val="sr-Latn-CS" w:eastAsia="en-GB"/>
              </w:rPr>
              <w:t>average</w:t>
            </w:r>
            <w:proofErr w:type="spellEnd"/>
            <w:r w:rsidR="003E1A7F" w:rsidRPr="00BE794D">
              <w:rPr>
                <w:rFonts w:ascii="Times New Roman" w:eastAsia="Times New Roman" w:hAnsi="Times New Roman" w:cs="Times New Roman"/>
                <w:snapToGrid w:val="0"/>
                <w:color w:val="000000" w:themeColor="text1"/>
                <w:sz w:val="24"/>
                <w:szCs w:val="24"/>
                <w:lang w:eastAsia="en-GB"/>
              </w:rPr>
              <w:t xml:space="preserve"> </w:t>
            </w:r>
            <w:proofErr w:type="spellStart"/>
            <w:r w:rsidR="002106F3" w:rsidRPr="00BE794D">
              <w:rPr>
                <w:rFonts w:ascii="Times New Roman" w:eastAsia="Times New Roman" w:hAnsi="Times New Roman" w:cs="Times New Roman"/>
                <w:snapToGrid w:val="0"/>
                <w:color w:val="000000" w:themeColor="text1"/>
                <w:sz w:val="24"/>
                <w:szCs w:val="24"/>
                <w:lang w:val="sr-Latn-CS" w:eastAsia="en-GB"/>
              </w:rPr>
              <w:t>annual</w:t>
            </w:r>
            <w:proofErr w:type="spellEnd"/>
            <w:r w:rsidR="002106F3" w:rsidRPr="00BE794D">
              <w:rPr>
                <w:rFonts w:ascii="Times New Roman" w:eastAsia="Times New Roman" w:hAnsi="Times New Roman" w:cs="Times New Roman"/>
                <w:snapToGrid w:val="0"/>
                <w:color w:val="000000" w:themeColor="text1"/>
                <w:sz w:val="24"/>
                <w:szCs w:val="24"/>
                <w:lang w:val="sr-Latn-CS" w:eastAsia="en-GB"/>
              </w:rPr>
              <w:t xml:space="preserve"> </w:t>
            </w:r>
            <w:proofErr w:type="spellStart"/>
            <w:r w:rsidR="003E1A7F" w:rsidRPr="00BE794D">
              <w:rPr>
                <w:rFonts w:ascii="Times New Roman" w:eastAsia="Times New Roman" w:hAnsi="Times New Roman" w:cs="Times New Roman"/>
                <w:snapToGrid w:val="0"/>
                <w:color w:val="000000" w:themeColor="text1"/>
                <w:sz w:val="24"/>
                <w:szCs w:val="24"/>
                <w:lang w:eastAsia="en-GB"/>
              </w:rPr>
              <w:t>operating</w:t>
            </w:r>
            <w:proofErr w:type="spellEnd"/>
            <w:r w:rsidR="003E1A7F" w:rsidRPr="00BE794D">
              <w:rPr>
                <w:rFonts w:ascii="Times New Roman" w:eastAsia="Times New Roman" w:hAnsi="Times New Roman" w:cs="Times New Roman"/>
                <w:snapToGrid w:val="0"/>
                <w:color w:val="000000" w:themeColor="text1"/>
                <w:sz w:val="24"/>
                <w:szCs w:val="24"/>
                <w:lang w:eastAsia="en-GB"/>
              </w:rPr>
              <w:t xml:space="preserve"> </w:t>
            </w:r>
            <w:proofErr w:type="spellStart"/>
            <w:r w:rsidR="003E1A7F" w:rsidRPr="00BE794D">
              <w:rPr>
                <w:rFonts w:ascii="Times New Roman" w:eastAsia="Times New Roman" w:hAnsi="Times New Roman" w:cs="Times New Roman"/>
                <w:snapToGrid w:val="0"/>
                <w:color w:val="000000" w:themeColor="text1"/>
                <w:sz w:val="24"/>
                <w:szCs w:val="24"/>
                <w:lang w:eastAsia="en-GB"/>
              </w:rPr>
              <w:t>income</w:t>
            </w:r>
            <w:proofErr w:type="spellEnd"/>
            <w:r w:rsidR="003E1A7F" w:rsidRPr="00BE794D">
              <w:rPr>
                <w:rFonts w:ascii="Times New Roman" w:eastAsia="Times New Roman" w:hAnsi="Times New Roman" w:cs="Times New Roman"/>
                <w:snapToGrid w:val="0"/>
                <w:color w:val="000000" w:themeColor="text1"/>
                <w:sz w:val="24"/>
                <w:szCs w:val="24"/>
                <w:lang w:eastAsia="en-GB"/>
              </w:rPr>
              <w:t xml:space="preserve"> </w:t>
            </w:r>
            <w:proofErr w:type="spellStart"/>
            <w:r w:rsidR="00E53132">
              <w:rPr>
                <w:rFonts w:ascii="Times New Roman" w:eastAsia="Times New Roman" w:hAnsi="Times New Roman" w:cs="Times New Roman"/>
                <w:snapToGrid w:val="0"/>
                <w:color w:val="000000" w:themeColor="text1"/>
                <w:sz w:val="24"/>
                <w:szCs w:val="24"/>
                <w:lang w:eastAsia="en-GB"/>
              </w:rPr>
              <w:t>in</w:t>
            </w:r>
            <w:proofErr w:type="spellEnd"/>
            <w:r w:rsidR="00E53132">
              <w:rPr>
                <w:rFonts w:ascii="Times New Roman" w:eastAsia="Times New Roman" w:hAnsi="Times New Roman" w:cs="Times New Roman"/>
                <w:snapToGrid w:val="0"/>
                <w:color w:val="000000" w:themeColor="text1"/>
                <w:sz w:val="24"/>
                <w:szCs w:val="24"/>
                <w:lang w:eastAsia="en-GB"/>
              </w:rPr>
              <w:t xml:space="preserve"> </w:t>
            </w:r>
            <w:proofErr w:type="spellStart"/>
            <w:r w:rsidR="00E53132">
              <w:rPr>
                <w:rFonts w:ascii="Times New Roman" w:eastAsia="Times New Roman" w:hAnsi="Times New Roman" w:cs="Times New Roman"/>
                <w:snapToGrid w:val="0"/>
                <w:color w:val="000000" w:themeColor="text1"/>
                <w:sz w:val="24"/>
                <w:szCs w:val="24"/>
                <w:lang w:eastAsia="en-GB"/>
              </w:rPr>
              <w:t>minimal</w:t>
            </w:r>
            <w:proofErr w:type="spellEnd"/>
            <w:r w:rsidR="00E53132">
              <w:rPr>
                <w:rFonts w:ascii="Times New Roman" w:eastAsia="Times New Roman" w:hAnsi="Times New Roman" w:cs="Times New Roman"/>
                <w:snapToGrid w:val="0"/>
                <w:color w:val="000000" w:themeColor="text1"/>
                <w:sz w:val="24"/>
                <w:szCs w:val="24"/>
                <w:lang w:eastAsia="en-GB"/>
              </w:rPr>
              <w:t xml:space="preserve"> </w:t>
            </w:r>
            <w:proofErr w:type="spellStart"/>
            <w:r w:rsidR="00E53132">
              <w:rPr>
                <w:rFonts w:ascii="Times New Roman" w:eastAsia="Times New Roman" w:hAnsi="Times New Roman" w:cs="Times New Roman"/>
                <w:snapToGrid w:val="0"/>
                <w:color w:val="000000" w:themeColor="text1"/>
                <w:sz w:val="24"/>
                <w:szCs w:val="24"/>
                <w:lang w:eastAsia="en-GB"/>
              </w:rPr>
              <w:t>amount</w:t>
            </w:r>
            <w:proofErr w:type="spellEnd"/>
            <w:r w:rsidR="00E53132">
              <w:rPr>
                <w:rFonts w:ascii="Times New Roman" w:eastAsia="Times New Roman" w:hAnsi="Times New Roman" w:cs="Times New Roman"/>
                <w:snapToGrid w:val="0"/>
                <w:color w:val="000000" w:themeColor="text1"/>
                <w:sz w:val="24"/>
                <w:szCs w:val="24"/>
                <w:lang w:eastAsia="en-GB"/>
              </w:rPr>
              <w:t xml:space="preserve"> </w:t>
            </w:r>
            <w:proofErr w:type="spellStart"/>
            <w:r w:rsidR="00E53132">
              <w:rPr>
                <w:rFonts w:ascii="Times New Roman" w:eastAsia="Times New Roman" w:hAnsi="Times New Roman" w:cs="Times New Roman"/>
                <w:snapToGrid w:val="0"/>
                <w:color w:val="000000" w:themeColor="text1"/>
                <w:sz w:val="24"/>
                <w:szCs w:val="24"/>
                <w:lang w:eastAsia="en-GB"/>
              </w:rPr>
              <w:t>of</w:t>
            </w:r>
            <w:proofErr w:type="spellEnd"/>
            <w:r w:rsidR="00E53132">
              <w:rPr>
                <w:rFonts w:ascii="Times New Roman" w:eastAsia="Times New Roman" w:hAnsi="Times New Roman" w:cs="Times New Roman"/>
                <w:snapToGrid w:val="0"/>
                <w:color w:val="000000" w:themeColor="text1"/>
                <w:sz w:val="24"/>
                <w:szCs w:val="24"/>
                <w:lang w:eastAsia="en-GB"/>
              </w:rPr>
              <w:t xml:space="preserve">: </w:t>
            </w:r>
          </w:p>
          <w:p w14:paraId="74EBE465" w14:textId="77777777" w:rsidR="000359A7" w:rsidRPr="009F20E4" w:rsidRDefault="000359A7" w:rsidP="000359A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2DFA3BB6" w14:textId="64A58AAD" w:rsidR="009F20E4" w:rsidRPr="009F20E4" w:rsidRDefault="009F20E4" w:rsidP="009F20E4">
            <w:pPr>
              <w:pStyle w:val="ListParagraph"/>
              <w:numPr>
                <w:ilvl w:val="0"/>
                <w:numId w:val="35"/>
              </w:numPr>
              <w:spacing w:before="60" w:after="60" w:line="240" w:lineRule="auto"/>
              <w:ind w:left="1106"/>
              <w:rPr>
                <w:rFonts w:ascii="Times New Roman" w:hAnsi="Times New Roman"/>
                <w:sz w:val="24"/>
                <w:szCs w:val="24"/>
                <w:lang w:val="en-GB"/>
              </w:rPr>
            </w:pPr>
            <w:r w:rsidRPr="009F20E4">
              <w:rPr>
                <w:rFonts w:ascii="Times New Roman" w:hAnsi="Times New Roman"/>
                <w:sz w:val="24"/>
                <w:szCs w:val="24"/>
                <w:lang w:val="en-GB"/>
              </w:rPr>
              <w:t xml:space="preserve">Lot 1: Novi Sad, </w:t>
            </w:r>
            <w:proofErr w:type="spellStart"/>
            <w:r w:rsidRPr="009F20E4">
              <w:rPr>
                <w:rFonts w:ascii="Times New Roman" w:hAnsi="Times New Roman"/>
                <w:sz w:val="24"/>
                <w:szCs w:val="24"/>
                <w:lang w:val="en-GB"/>
              </w:rPr>
              <w:t>Vrbas</w:t>
            </w:r>
            <w:proofErr w:type="spellEnd"/>
            <w:r>
              <w:rPr>
                <w:rFonts w:ascii="Times New Roman" w:hAnsi="Times New Roman"/>
                <w:sz w:val="24"/>
                <w:szCs w:val="24"/>
                <w:lang w:val="en-GB"/>
              </w:rPr>
              <w:t xml:space="preserve"> – </w:t>
            </w:r>
            <w:r w:rsidR="00A24781">
              <w:rPr>
                <w:rFonts w:ascii="Times New Roman" w:hAnsi="Times New Roman"/>
                <w:sz w:val="24"/>
                <w:szCs w:val="24"/>
                <w:lang w:val="en-GB"/>
              </w:rPr>
              <w:t>6</w:t>
            </w:r>
            <w:r>
              <w:rPr>
                <w:rFonts w:ascii="Times New Roman" w:hAnsi="Times New Roman"/>
                <w:sz w:val="24"/>
                <w:szCs w:val="24"/>
                <w:lang w:val="en-GB"/>
              </w:rPr>
              <w:t>.</w:t>
            </w:r>
            <w:r w:rsidR="00A24781">
              <w:rPr>
                <w:rFonts w:ascii="Times New Roman" w:hAnsi="Times New Roman"/>
                <w:sz w:val="24"/>
                <w:szCs w:val="24"/>
                <w:lang w:val="en-GB"/>
              </w:rPr>
              <w:t>00</w:t>
            </w:r>
            <w:r>
              <w:rPr>
                <w:rFonts w:ascii="Times New Roman" w:hAnsi="Times New Roman"/>
                <w:sz w:val="24"/>
                <w:szCs w:val="24"/>
                <w:lang w:val="en-GB"/>
              </w:rPr>
              <w:t xml:space="preserve">0.000,00 EUR </w:t>
            </w:r>
          </w:p>
          <w:p w14:paraId="6E61CA27" w14:textId="6C70FA20" w:rsidR="000D3CB7" w:rsidRPr="000359A7" w:rsidRDefault="009F20E4" w:rsidP="009F20E4">
            <w:pPr>
              <w:pStyle w:val="ListParagraph"/>
              <w:numPr>
                <w:ilvl w:val="0"/>
                <w:numId w:val="35"/>
              </w:numPr>
              <w:tabs>
                <w:tab w:val="clear" w:pos="720"/>
              </w:tabs>
              <w:suppressAutoHyphens w:val="0"/>
              <w:spacing w:after="0"/>
              <w:ind w:left="1106"/>
              <w:contextualSpacing/>
              <w:jc w:val="both"/>
              <w:rPr>
                <w:rFonts w:ascii="Times New Roman" w:eastAsia="Times New Roman" w:hAnsi="Times New Roman" w:cs="Times New Roman"/>
                <w:color w:val="auto"/>
                <w:sz w:val="24"/>
                <w:lang w:val="en-GB"/>
              </w:rPr>
            </w:pPr>
            <w:r w:rsidRPr="009F20E4">
              <w:rPr>
                <w:rFonts w:ascii="Times New Roman" w:hAnsi="Times New Roman"/>
                <w:sz w:val="24"/>
                <w:szCs w:val="24"/>
                <w:lang w:val="en-GB"/>
              </w:rPr>
              <w:t xml:space="preserve">Lot 2: </w:t>
            </w:r>
            <w:proofErr w:type="spellStart"/>
            <w:r w:rsidRPr="009F20E4">
              <w:rPr>
                <w:rFonts w:ascii="Times New Roman" w:hAnsi="Times New Roman"/>
                <w:sz w:val="24"/>
                <w:szCs w:val="24"/>
                <w:lang w:val="en-GB"/>
              </w:rPr>
              <w:t>Pancevo</w:t>
            </w:r>
            <w:proofErr w:type="spellEnd"/>
            <w:r w:rsidRPr="009F20E4">
              <w:rPr>
                <w:rFonts w:ascii="Times New Roman" w:hAnsi="Times New Roman"/>
                <w:sz w:val="24"/>
                <w:szCs w:val="24"/>
                <w:lang w:val="en-GB"/>
              </w:rPr>
              <w:t xml:space="preserve"> – </w:t>
            </w:r>
            <w:r>
              <w:rPr>
                <w:rFonts w:ascii="Times New Roman" w:hAnsi="Times New Roman"/>
                <w:sz w:val="24"/>
                <w:szCs w:val="24"/>
                <w:lang w:val="en-GB"/>
              </w:rPr>
              <w:t>2.</w:t>
            </w:r>
            <w:r w:rsidR="00A24781">
              <w:rPr>
                <w:rFonts w:ascii="Times New Roman" w:hAnsi="Times New Roman"/>
                <w:sz w:val="24"/>
                <w:szCs w:val="24"/>
                <w:lang w:val="en-GB"/>
              </w:rPr>
              <w:t>0</w:t>
            </w:r>
            <w:r>
              <w:rPr>
                <w:rFonts w:ascii="Times New Roman" w:hAnsi="Times New Roman"/>
                <w:sz w:val="24"/>
                <w:szCs w:val="24"/>
                <w:lang w:val="en-GB"/>
              </w:rPr>
              <w:t>00.000,00 EUR</w:t>
            </w:r>
          </w:p>
          <w:p w14:paraId="18A5FC11" w14:textId="77777777" w:rsidR="000359A7" w:rsidRPr="00BE794D" w:rsidRDefault="000359A7" w:rsidP="000359A7">
            <w:pPr>
              <w:pStyle w:val="ListParagraph"/>
              <w:tabs>
                <w:tab w:val="clear" w:pos="720"/>
              </w:tabs>
              <w:suppressAutoHyphens w:val="0"/>
              <w:spacing w:after="0"/>
              <w:ind w:left="1106"/>
              <w:contextualSpacing/>
              <w:jc w:val="both"/>
              <w:rPr>
                <w:rFonts w:ascii="Times New Roman" w:eastAsia="Times New Roman" w:hAnsi="Times New Roman" w:cs="Times New Roman"/>
                <w:color w:val="auto"/>
                <w:sz w:val="24"/>
                <w:lang w:val="en-GB"/>
              </w:rPr>
            </w:pPr>
          </w:p>
          <w:p w14:paraId="2739E5C3" w14:textId="616C084C" w:rsidR="009F20E4" w:rsidRPr="009F20E4" w:rsidRDefault="009F20E4" w:rsidP="009F20E4">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color w:val="auto"/>
                <w:sz w:val="24"/>
                <w:lang w:val="en-GB"/>
              </w:rPr>
              <w:t>* in EUR in accordance to middle exchange rate of the national Bank of Serbia on the last day of the reporting period.</w:t>
            </w:r>
          </w:p>
          <w:p w14:paraId="3164C2E5" w14:textId="73303A4F" w:rsidR="00D00FAA" w:rsidRDefault="009F20E4" w:rsidP="009F20E4">
            <w:pPr>
              <w:tabs>
                <w:tab w:val="clear" w:pos="720"/>
              </w:tabs>
              <w:suppressAutoHyphens w:val="0"/>
              <w:spacing w:after="0"/>
              <w:ind w:left="720"/>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color w:val="auto"/>
                <w:sz w:val="24"/>
                <w:lang w:val="en-GB"/>
              </w:rPr>
              <w:t>Consortium: In case of joint venture/consortium, the leading partner of the joint venture/consortium must fulfil the minimum of 50% of this criterion.</w:t>
            </w:r>
          </w:p>
          <w:p w14:paraId="5E04E3E1" w14:textId="77777777" w:rsidR="000359A7" w:rsidRPr="003A3B73" w:rsidRDefault="000359A7" w:rsidP="009F20E4">
            <w:pPr>
              <w:tabs>
                <w:tab w:val="clear" w:pos="720"/>
              </w:tabs>
              <w:suppressAutoHyphens w:val="0"/>
              <w:spacing w:after="0"/>
              <w:ind w:left="720"/>
              <w:contextualSpacing/>
              <w:jc w:val="both"/>
              <w:rPr>
                <w:rFonts w:ascii="Times New Roman" w:eastAsia="Times New Roman" w:hAnsi="Times New Roman" w:cs="Times New Roman"/>
                <w:color w:val="auto"/>
                <w:sz w:val="24"/>
                <w:lang w:val="en-GB"/>
              </w:rPr>
            </w:pPr>
          </w:p>
          <w:p w14:paraId="710CDFC9" w14:textId="77777777" w:rsidR="009F20E4" w:rsidRDefault="001C29D3" w:rsidP="00291023">
            <w:pPr>
              <w:pStyle w:val="ListParagraph"/>
              <w:widowControl w:val="0"/>
              <w:numPr>
                <w:ilvl w:val="0"/>
                <w:numId w:val="12"/>
              </w:numPr>
              <w:tabs>
                <w:tab w:val="clear" w:pos="720"/>
              </w:tabs>
              <w:spacing w:after="0" w:line="240" w:lineRule="auto"/>
              <w:contextualSpacing/>
              <w:jc w:val="both"/>
              <w:rPr>
                <w:rFonts w:ascii="Times New Roman" w:hAnsi="Times New Roman" w:cs="Times New Roman"/>
                <w:sz w:val="24"/>
                <w:szCs w:val="24"/>
              </w:rPr>
            </w:pPr>
            <w:proofErr w:type="spellStart"/>
            <w:r w:rsidRPr="003A3B73">
              <w:rPr>
                <w:rFonts w:ascii="Times New Roman" w:hAnsi="Times New Roman" w:cs="Times New Roman"/>
                <w:b/>
                <w:sz w:val="24"/>
                <w:szCs w:val="24"/>
              </w:rPr>
              <w:t>Available</w:t>
            </w:r>
            <w:proofErr w:type="spellEnd"/>
            <w:r w:rsidRPr="003A3B73">
              <w:rPr>
                <w:rFonts w:ascii="Times New Roman" w:hAnsi="Times New Roman" w:cs="Times New Roman"/>
                <w:b/>
                <w:sz w:val="24"/>
                <w:szCs w:val="24"/>
              </w:rPr>
              <w:t xml:space="preserve"> </w:t>
            </w:r>
            <w:proofErr w:type="spellStart"/>
            <w:r w:rsidRPr="003A3B73">
              <w:rPr>
                <w:rFonts w:ascii="Times New Roman" w:hAnsi="Times New Roman" w:cs="Times New Roman"/>
                <w:b/>
                <w:sz w:val="24"/>
                <w:szCs w:val="24"/>
              </w:rPr>
              <w:t>funds</w:t>
            </w:r>
            <w:proofErr w:type="spellEnd"/>
            <w:r w:rsidRPr="003A3B73">
              <w:rPr>
                <w:rFonts w:ascii="Times New Roman" w:eastAsia="Calibri" w:hAnsi="Times New Roman" w:cs="Times New Roman"/>
                <w:b/>
                <w:color w:val="auto"/>
                <w:sz w:val="24"/>
                <w:szCs w:val="24"/>
                <w:lang w:val="en-GB"/>
              </w:rPr>
              <w:t xml:space="preserve">. </w:t>
            </w:r>
            <w:proofErr w:type="spellStart"/>
            <w:r w:rsidR="009F20E4" w:rsidRPr="009F20E4">
              <w:rPr>
                <w:rFonts w:ascii="Times New Roman" w:hAnsi="Times New Roman" w:cs="Times New Roman"/>
                <w:sz w:val="24"/>
                <w:szCs w:val="24"/>
              </w:rPr>
              <w:t>In</w:t>
            </w:r>
            <w:proofErr w:type="spellEnd"/>
            <w:r w:rsidR="009F20E4" w:rsidRPr="009F20E4">
              <w:rPr>
                <w:rFonts w:ascii="Times New Roman" w:hAnsi="Times New Roman" w:cs="Times New Roman"/>
                <w:sz w:val="24"/>
                <w:szCs w:val="24"/>
              </w:rPr>
              <w:t xml:space="preserve"> a </w:t>
            </w:r>
            <w:proofErr w:type="spellStart"/>
            <w:r w:rsidR="009F20E4" w:rsidRPr="009F20E4">
              <w:rPr>
                <w:rFonts w:ascii="Times New Roman" w:hAnsi="Times New Roman" w:cs="Times New Roman"/>
                <w:sz w:val="24"/>
                <w:szCs w:val="24"/>
              </w:rPr>
              <w:t>case</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of</w:t>
            </w:r>
            <w:proofErr w:type="spellEnd"/>
            <w:r w:rsidR="009F20E4" w:rsidRPr="009F20E4">
              <w:rPr>
                <w:rFonts w:ascii="Times New Roman" w:hAnsi="Times New Roman" w:cs="Times New Roman"/>
                <w:sz w:val="24"/>
                <w:szCs w:val="24"/>
              </w:rPr>
              <w:t xml:space="preserve"> a </w:t>
            </w:r>
            <w:proofErr w:type="spellStart"/>
            <w:r w:rsidR="009F20E4" w:rsidRPr="009F20E4">
              <w:rPr>
                <w:rFonts w:ascii="Times New Roman" w:hAnsi="Times New Roman" w:cs="Times New Roman"/>
                <w:sz w:val="24"/>
                <w:szCs w:val="24"/>
              </w:rPr>
              <w:t>tender</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submission</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Tenderer</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shall</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prove</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by</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supplying</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relevant</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commercial</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bank</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statement</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issued</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upon</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the</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publication</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of</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the</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Contract</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Procurement</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Notice</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confirming</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that</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the</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tenderer</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has</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available</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or</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can</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dispose</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of</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liquid</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funds</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and</w:t>
            </w:r>
            <w:proofErr w:type="spellEnd"/>
            <w:r w:rsidR="009F20E4" w:rsidRPr="009F20E4">
              <w:rPr>
                <w:rFonts w:ascii="Times New Roman" w:hAnsi="Times New Roman" w:cs="Times New Roman"/>
                <w:sz w:val="24"/>
                <w:szCs w:val="24"/>
              </w:rPr>
              <w:t>/</w:t>
            </w:r>
            <w:proofErr w:type="spellStart"/>
            <w:r w:rsidR="009F20E4" w:rsidRPr="009F20E4">
              <w:rPr>
                <w:rFonts w:ascii="Times New Roman" w:hAnsi="Times New Roman" w:cs="Times New Roman"/>
                <w:sz w:val="24"/>
                <w:szCs w:val="24"/>
              </w:rPr>
              <w:t>or</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credit</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line</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and</w:t>
            </w:r>
            <w:proofErr w:type="spellEnd"/>
            <w:r w:rsidR="009F20E4" w:rsidRPr="009F20E4">
              <w:rPr>
                <w:rFonts w:ascii="Times New Roman" w:hAnsi="Times New Roman" w:cs="Times New Roman"/>
                <w:sz w:val="24"/>
                <w:szCs w:val="24"/>
              </w:rPr>
              <w:t>/</w:t>
            </w:r>
            <w:proofErr w:type="spellStart"/>
            <w:r w:rsidR="009F20E4" w:rsidRPr="009F20E4">
              <w:rPr>
                <w:rFonts w:ascii="Times New Roman" w:hAnsi="Times New Roman" w:cs="Times New Roman"/>
                <w:sz w:val="24"/>
                <w:szCs w:val="24"/>
              </w:rPr>
              <w:t>or</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other</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funds</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in</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the</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amount</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of</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at</w:t>
            </w:r>
            <w:proofErr w:type="spellEnd"/>
            <w:r w:rsidR="009F20E4" w:rsidRPr="009F20E4">
              <w:rPr>
                <w:rFonts w:ascii="Times New Roman" w:hAnsi="Times New Roman" w:cs="Times New Roman"/>
                <w:sz w:val="24"/>
                <w:szCs w:val="24"/>
              </w:rPr>
              <w:t xml:space="preserve"> </w:t>
            </w:r>
            <w:proofErr w:type="spellStart"/>
            <w:r w:rsidR="009F20E4" w:rsidRPr="009F20E4">
              <w:rPr>
                <w:rFonts w:ascii="Times New Roman" w:hAnsi="Times New Roman" w:cs="Times New Roman"/>
                <w:sz w:val="24"/>
                <w:szCs w:val="24"/>
              </w:rPr>
              <w:t>least</w:t>
            </w:r>
            <w:proofErr w:type="spellEnd"/>
          </w:p>
          <w:p w14:paraId="1B6FADCB" w14:textId="77777777" w:rsidR="000359A7" w:rsidRPr="009F20E4" w:rsidRDefault="000359A7" w:rsidP="000359A7">
            <w:pPr>
              <w:pStyle w:val="ListParagraph"/>
              <w:widowControl w:val="0"/>
              <w:tabs>
                <w:tab w:val="clear" w:pos="720"/>
              </w:tabs>
              <w:spacing w:after="0" w:line="240" w:lineRule="auto"/>
              <w:contextualSpacing/>
              <w:rPr>
                <w:rFonts w:ascii="Times New Roman" w:hAnsi="Times New Roman" w:cs="Times New Roman"/>
                <w:sz w:val="24"/>
                <w:szCs w:val="24"/>
              </w:rPr>
            </w:pPr>
          </w:p>
          <w:p w14:paraId="15F2200D" w14:textId="1598A12D" w:rsidR="009F20E4" w:rsidRPr="009F20E4" w:rsidRDefault="009F20E4" w:rsidP="009F20E4">
            <w:pPr>
              <w:pStyle w:val="ListParagraph"/>
              <w:numPr>
                <w:ilvl w:val="0"/>
                <w:numId w:val="35"/>
              </w:numPr>
              <w:spacing w:before="60" w:after="60" w:line="240" w:lineRule="auto"/>
              <w:ind w:left="1106"/>
              <w:rPr>
                <w:rFonts w:ascii="Times New Roman" w:hAnsi="Times New Roman"/>
                <w:sz w:val="24"/>
                <w:szCs w:val="24"/>
                <w:lang w:val="en-GB"/>
              </w:rPr>
            </w:pPr>
            <w:r w:rsidRPr="009F20E4">
              <w:rPr>
                <w:rFonts w:ascii="Times New Roman" w:hAnsi="Times New Roman"/>
                <w:sz w:val="24"/>
                <w:szCs w:val="24"/>
                <w:lang w:val="en-GB"/>
              </w:rPr>
              <w:t>For Lot 1</w:t>
            </w:r>
            <w:r w:rsidR="00A24781">
              <w:rPr>
                <w:rFonts w:ascii="Times New Roman" w:hAnsi="Times New Roman"/>
                <w:sz w:val="24"/>
                <w:szCs w:val="24"/>
                <w:lang w:val="en-GB"/>
              </w:rPr>
              <w:t>:</w:t>
            </w:r>
            <w:r w:rsidRPr="009F20E4">
              <w:rPr>
                <w:rFonts w:ascii="Times New Roman" w:hAnsi="Times New Roman"/>
                <w:sz w:val="24"/>
                <w:szCs w:val="24"/>
                <w:lang w:val="en-GB"/>
              </w:rPr>
              <w:t xml:space="preserve"> </w:t>
            </w:r>
            <w:r w:rsidR="00A24781">
              <w:rPr>
                <w:rFonts w:ascii="Times New Roman" w:hAnsi="Times New Roman"/>
                <w:sz w:val="24"/>
                <w:szCs w:val="24"/>
                <w:lang w:val="en-GB"/>
              </w:rPr>
              <w:t>1.100</w:t>
            </w:r>
            <w:r w:rsidRPr="009F20E4">
              <w:rPr>
                <w:rFonts w:ascii="Times New Roman" w:hAnsi="Times New Roman"/>
                <w:sz w:val="24"/>
                <w:szCs w:val="24"/>
                <w:lang w:val="en-GB"/>
              </w:rPr>
              <w:t>.000 EUR</w:t>
            </w:r>
          </w:p>
          <w:p w14:paraId="04C45A48" w14:textId="39204162" w:rsidR="009F20E4" w:rsidRDefault="009F20E4" w:rsidP="009F20E4">
            <w:pPr>
              <w:pStyle w:val="ListParagraph"/>
              <w:numPr>
                <w:ilvl w:val="0"/>
                <w:numId w:val="35"/>
              </w:numPr>
              <w:spacing w:before="60" w:after="60" w:line="240" w:lineRule="auto"/>
              <w:ind w:left="1106"/>
              <w:rPr>
                <w:rFonts w:ascii="Times New Roman" w:hAnsi="Times New Roman"/>
                <w:sz w:val="24"/>
                <w:szCs w:val="24"/>
                <w:lang w:val="en-GB"/>
              </w:rPr>
            </w:pPr>
            <w:r w:rsidRPr="009F20E4">
              <w:rPr>
                <w:rFonts w:ascii="Times New Roman" w:hAnsi="Times New Roman"/>
                <w:sz w:val="24"/>
                <w:szCs w:val="24"/>
                <w:lang w:val="en-GB"/>
              </w:rPr>
              <w:t xml:space="preserve">For Lot 2: </w:t>
            </w:r>
            <w:r w:rsidR="00A24781">
              <w:rPr>
                <w:rFonts w:ascii="Times New Roman" w:hAnsi="Times New Roman"/>
                <w:sz w:val="24"/>
                <w:szCs w:val="24"/>
                <w:lang w:val="en-GB"/>
              </w:rPr>
              <w:t>3</w:t>
            </w:r>
            <w:r w:rsidR="00321E2E">
              <w:rPr>
                <w:rFonts w:ascii="Times New Roman" w:hAnsi="Times New Roman"/>
                <w:sz w:val="24"/>
                <w:szCs w:val="24"/>
                <w:lang w:val="en-GB"/>
              </w:rPr>
              <w:t>8</w:t>
            </w:r>
            <w:r w:rsidRPr="009F20E4">
              <w:rPr>
                <w:rFonts w:ascii="Times New Roman" w:hAnsi="Times New Roman"/>
                <w:sz w:val="24"/>
                <w:szCs w:val="24"/>
                <w:lang w:val="en-GB"/>
              </w:rPr>
              <w:t>0.000 EUR.</w:t>
            </w:r>
          </w:p>
          <w:p w14:paraId="2FC45EA5" w14:textId="77777777" w:rsidR="000359A7" w:rsidRPr="009F20E4" w:rsidRDefault="000359A7" w:rsidP="000359A7">
            <w:pPr>
              <w:pStyle w:val="ListParagraph"/>
              <w:spacing w:before="60" w:after="60" w:line="240" w:lineRule="auto"/>
              <w:ind w:left="1106"/>
              <w:rPr>
                <w:rFonts w:ascii="Times New Roman" w:hAnsi="Times New Roman"/>
                <w:sz w:val="24"/>
                <w:szCs w:val="24"/>
                <w:lang w:val="en-GB"/>
              </w:rPr>
            </w:pPr>
          </w:p>
          <w:p w14:paraId="1F8E81FD" w14:textId="7BC84189" w:rsidR="001C29D3" w:rsidRPr="003A3B73" w:rsidRDefault="009F20E4" w:rsidP="009F20E4">
            <w:pPr>
              <w:pStyle w:val="ListParagraph"/>
              <w:tabs>
                <w:tab w:val="clear" w:pos="720"/>
                <w:tab w:val="left" w:pos="-1440"/>
              </w:tabs>
              <w:suppressAutoHyphens w:val="0"/>
              <w:spacing w:after="0"/>
              <w:ind w:right="8"/>
              <w:jc w:val="both"/>
              <w:rPr>
                <w:rFonts w:ascii="Times New Roman" w:eastAsia="Calibri" w:hAnsi="Times New Roman" w:cs="Times New Roman"/>
                <w:b/>
                <w:color w:val="auto"/>
                <w:sz w:val="24"/>
                <w:szCs w:val="24"/>
                <w:lang w:val="en-GB"/>
              </w:rPr>
            </w:pPr>
            <w:proofErr w:type="spellStart"/>
            <w:r w:rsidRPr="009F20E4">
              <w:rPr>
                <w:rFonts w:ascii="Times New Roman" w:hAnsi="Times New Roman" w:cs="Times New Roman"/>
                <w:sz w:val="24"/>
                <w:szCs w:val="24"/>
              </w:rPr>
              <w:t>Consortium</w:t>
            </w:r>
            <w:proofErr w:type="spellEnd"/>
            <w:r w:rsidRPr="009F20E4">
              <w:rPr>
                <w:rFonts w:ascii="Times New Roman" w:hAnsi="Times New Roman" w:cs="Times New Roman"/>
                <w:sz w:val="24"/>
                <w:szCs w:val="24"/>
              </w:rPr>
              <w:t xml:space="preserve">: </w:t>
            </w:r>
            <w:proofErr w:type="spellStart"/>
            <w:r w:rsidRPr="009F20E4">
              <w:rPr>
                <w:rFonts w:ascii="Times New Roman" w:hAnsi="Times New Roman" w:cs="Times New Roman"/>
                <w:sz w:val="24"/>
                <w:szCs w:val="24"/>
              </w:rPr>
              <w:t>In</w:t>
            </w:r>
            <w:proofErr w:type="spellEnd"/>
            <w:r w:rsidRPr="009F20E4">
              <w:rPr>
                <w:rFonts w:ascii="Times New Roman" w:hAnsi="Times New Roman" w:cs="Times New Roman"/>
                <w:sz w:val="24"/>
                <w:szCs w:val="24"/>
              </w:rPr>
              <w:t xml:space="preserve"> </w:t>
            </w:r>
            <w:proofErr w:type="spellStart"/>
            <w:r w:rsidRPr="009F20E4">
              <w:rPr>
                <w:rFonts w:ascii="Times New Roman" w:hAnsi="Times New Roman" w:cs="Times New Roman"/>
                <w:sz w:val="24"/>
                <w:szCs w:val="24"/>
              </w:rPr>
              <w:t>case</w:t>
            </w:r>
            <w:proofErr w:type="spellEnd"/>
            <w:r w:rsidRPr="009F20E4">
              <w:rPr>
                <w:rFonts w:ascii="Times New Roman" w:hAnsi="Times New Roman" w:cs="Times New Roman"/>
                <w:sz w:val="24"/>
                <w:szCs w:val="24"/>
              </w:rPr>
              <w:t xml:space="preserve"> </w:t>
            </w:r>
            <w:proofErr w:type="spellStart"/>
            <w:r w:rsidRPr="009F20E4">
              <w:rPr>
                <w:rFonts w:ascii="Times New Roman" w:hAnsi="Times New Roman" w:cs="Times New Roman"/>
                <w:sz w:val="24"/>
                <w:szCs w:val="24"/>
              </w:rPr>
              <w:t>of</w:t>
            </w:r>
            <w:proofErr w:type="spellEnd"/>
            <w:r w:rsidRPr="009F20E4">
              <w:rPr>
                <w:rFonts w:ascii="Times New Roman" w:hAnsi="Times New Roman" w:cs="Times New Roman"/>
                <w:sz w:val="24"/>
                <w:szCs w:val="24"/>
              </w:rPr>
              <w:t xml:space="preserve"> </w:t>
            </w:r>
            <w:proofErr w:type="spellStart"/>
            <w:r w:rsidRPr="009F20E4">
              <w:rPr>
                <w:rFonts w:ascii="Times New Roman" w:hAnsi="Times New Roman" w:cs="Times New Roman"/>
                <w:sz w:val="24"/>
                <w:szCs w:val="24"/>
              </w:rPr>
              <w:t>joint</w:t>
            </w:r>
            <w:proofErr w:type="spellEnd"/>
            <w:r w:rsidRPr="009F20E4">
              <w:rPr>
                <w:rFonts w:ascii="Times New Roman" w:hAnsi="Times New Roman" w:cs="Times New Roman"/>
                <w:sz w:val="24"/>
                <w:szCs w:val="24"/>
              </w:rPr>
              <w:t xml:space="preserve"> </w:t>
            </w:r>
            <w:proofErr w:type="spellStart"/>
            <w:r w:rsidRPr="009F20E4">
              <w:rPr>
                <w:rFonts w:ascii="Times New Roman" w:hAnsi="Times New Roman" w:cs="Times New Roman"/>
                <w:sz w:val="24"/>
                <w:szCs w:val="24"/>
              </w:rPr>
              <w:t>venture</w:t>
            </w:r>
            <w:proofErr w:type="spellEnd"/>
            <w:r w:rsidRPr="009F20E4">
              <w:rPr>
                <w:rFonts w:ascii="Times New Roman" w:hAnsi="Times New Roman" w:cs="Times New Roman"/>
                <w:sz w:val="24"/>
                <w:szCs w:val="24"/>
              </w:rPr>
              <w:t>/</w:t>
            </w:r>
            <w:proofErr w:type="spellStart"/>
            <w:r w:rsidRPr="009F20E4">
              <w:rPr>
                <w:rFonts w:ascii="Times New Roman" w:hAnsi="Times New Roman" w:cs="Times New Roman"/>
                <w:sz w:val="24"/>
                <w:szCs w:val="24"/>
              </w:rPr>
              <w:t>consortium</w:t>
            </w:r>
            <w:proofErr w:type="spellEnd"/>
            <w:r w:rsidRPr="009F20E4">
              <w:rPr>
                <w:rFonts w:ascii="Times New Roman" w:hAnsi="Times New Roman" w:cs="Times New Roman"/>
                <w:sz w:val="24"/>
                <w:szCs w:val="24"/>
              </w:rPr>
              <w:t xml:space="preserve">, </w:t>
            </w:r>
            <w:proofErr w:type="spellStart"/>
            <w:r w:rsidRPr="009F20E4">
              <w:rPr>
                <w:rFonts w:ascii="Times New Roman" w:hAnsi="Times New Roman" w:cs="Times New Roman"/>
                <w:sz w:val="24"/>
                <w:szCs w:val="24"/>
              </w:rPr>
              <w:t>the</w:t>
            </w:r>
            <w:proofErr w:type="spellEnd"/>
            <w:r w:rsidRPr="009F20E4">
              <w:rPr>
                <w:rFonts w:ascii="Times New Roman" w:hAnsi="Times New Roman" w:cs="Times New Roman"/>
                <w:sz w:val="24"/>
                <w:szCs w:val="24"/>
              </w:rPr>
              <w:t xml:space="preserve"> </w:t>
            </w:r>
            <w:proofErr w:type="spellStart"/>
            <w:r w:rsidRPr="009F20E4">
              <w:rPr>
                <w:rFonts w:ascii="Times New Roman" w:hAnsi="Times New Roman" w:cs="Times New Roman"/>
                <w:sz w:val="24"/>
                <w:szCs w:val="24"/>
              </w:rPr>
              <w:t>leading</w:t>
            </w:r>
            <w:proofErr w:type="spellEnd"/>
            <w:r w:rsidRPr="009F20E4">
              <w:rPr>
                <w:rFonts w:ascii="Times New Roman" w:hAnsi="Times New Roman" w:cs="Times New Roman"/>
                <w:sz w:val="24"/>
                <w:szCs w:val="24"/>
              </w:rPr>
              <w:t xml:space="preserve"> </w:t>
            </w:r>
            <w:proofErr w:type="spellStart"/>
            <w:r w:rsidRPr="009F20E4">
              <w:rPr>
                <w:rFonts w:ascii="Times New Roman" w:hAnsi="Times New Roman" w:cs="Times New Roman"/>
                <w:sz w:val="24"/>
                <w:szCs w:val="24"/>
              </w:rPr>
              <w:t>partner</w:t>
            </w:r>
            <w:proofErr w:type="spellEnd"/>
            <w:r w:rsidRPr="009F20E4">
              <w:rPr>
                <w:rFonts w:ascii="Times New Roman" w:hAnsi="Times New Roman" w:cs="Times New Roman"/>
                <w:sz w:val="24"/>
                <w:szCs w:val="24"/>
              </w:rPr>
              <w:t xml:space="preserve"> </w:t>
            </w:r>
            <w:proofErr w:type="spellStart"/>
            <w:r w:rsidRPr="009F20E4">
              <w:rPr>
                <w:rFonts w:ascii="Times New Roman" w:hAnsi="Times New Roman" w:cs="Times New Roman"/>
                <w:sz w:val="24"/>
                <w:szCs w:val="24"/>
              </w:rPr>
              <w:t>of</w:t>
            </w:r>
            <w:proofErr w:type="spellEnd"/>
            <w:r w:rsidRPr="009F20E4">
              <w:rPr>
                <w:rFonts w:ascii="Times New Roman" w:hAnsi="Times New Roman" w:cs="Times New Roman"/>
                <w:sz w:val="24"/>
                <w:szCs w:val="24"/>
              </w:rPr>
              <w:t xml:space="preserve"> </w:t>
            </w:r>
            <w:proofErr w:type="spellStart"/>
            <w:r w:rsidRPr="009F20E4">
              <w:rPr>
                <w:rFonts w:ascii="Times New Roman" w:hAnsi="Times New Roman" w:cs="Times New Roman"/>
                <w:sz w:val="24"/>
                <w:szCs w:val="24"/>
              </w:rPr>
              <w:t>the</w:t>
            </w:r>
            <w:proofErr w:type="spellEnd"/>
            <w:r w:rsidRPr="009F20E4">
              <w:rPr>
                <w:rFonts w:ascii="Times New Roman" w:hAnsi="Times New Roman" w:cs="Times New Roman"/>
                <w:sz w:val="24"/>
                <w:szCs w:val="24"/>
              </w:rPr>
              <w:t xml:space="preserve"> </w:t>
            </w:r>
            <w:proofErr w:type="spellStart"/>
            <w:r w:rsidRPr="009F20E4">
              <w:rPr>
                <w:rFonts w:ascii="Times New Roman" w:hAnsi="Times New Roman" w:cs="Times New Roman"/>
                <w:sz w:val="24"/>
                <w:szCs w:val="24"/>
              </w:rPr>
              <w:t>joint</w:t>
            </w:r>
            <w:proofErr w:type="spellEnd"/>
            <w:r w:rsidRPr="009F20E4">
              <w:rPr>
                <w:rFonts w:ascii="Times New Roman" w:hAnsi="Times New Roman" w:cs="Times New Roman"/>
                <w:sz w:val="24"/>
                <w:szCs w:val="24"/>
              </w:rPr>
              <w:t xml:space="preserve"> </w:t>
            </w:r>
            <w:proofErr w:type="spellStart"/>
            <w:r w:rsidRPr="009F20E4">
              <w:rPr>
                <w:rFonts w:ascii="Times New Roman" w:hAnsi="Times New Roman" w:cs="Times New Roman"/>
                <w:sz w:val="24"/>
                <w:szCs w:val="24"/>
              </w:rPr>
              <w:t>venture</w:t>
            </w:r>
            <w:proofErr w:type="spellEnd"/>
            <w:r w:rsidRPr="009F20E4">
              <w:rPr>
                <w:rFonts w:ascii="Times New Roman" w:hAnsi="Times New Roman" w:cs="Times New Roman"/>
                <w:sz w:val="24"/>
                <w:szCs w:val="24"/>
              </w:rPr>
              <w:t>/</w:t>
            </w:r>
            <w:proofErr w:type="spellStart"/>
            <w:r w:rsidRPr="009F20E4">
              <w:rPr>
                <w:rFonts w:ascii="Times New Roman" w:hAnsi="Times New Roman" w:cs="Times New Roman"/>
                <w:sz w:val="24"/>
                <w:szCs w:val="24"/>
              </w:rPr>
              <w:t>consortium</w:t>
            </w:r>
            <w:proofErr w:type="spellEnd"/>
            <w:r w:rsidRPr="009F20E4">
              <w:rPr>
                <w:rFonts w:ascii="Times New Roman" w:hAnsi="Times New Roman" w:cs="Times New Roman"/>
                <w:sz w:val="24"/>
                <w:szCs w:val="24"/>
              </w:rPr>
              <w:t xml:space="preserve"> </w:t>
            </w:r>
            <w:proofErr w:type="spellStart"/>
            <w:r w:rsidRPr="009F20E4">
              <w:rPr>
                <w:rFonts w:ascii="Times New Roman" w:hAnsi="Times New Roman" w:cs="Times New Roman"/>
                <w:sz w:val="24"/>
                <w:szCs w:val="24"/>
              </w:rPr>
              <w:t>must</w:t>
            </w:r>
            <w:proofErr w:type="spellEnd"/>
            <w:r w:rsidRPr="009F20E4">
              <w:rPr>
                <w:rFonts w:ascii="Times New Roman" w:hAnsi="Times New Roman" w:cs="Times New Roman"/>
                <w:sz w:val="24"/>
                <w:szCs w:val="24"/>
              </w:rPr>
              <w:t xml:space="preserve"> </w:t>
            </w:r>
            <w:proofErr w:type="spellStart"/>
            <w:r w:rsidRPr="009F20E4">
              <w:rPr>
                <w:rFonts w:ascii="Times New Roman" w:hAnsi="Times New Roman" w:cs="Times New Roman"/>
                <w:sz w:val="24"/>
                <w:szCs w:val="24"/>
              </w:rPr>
              <w:t>fulfil</w:t>
            </w:r>
            <w:proofErr w:type="spellEnd"/>
            <w:r w:rsidRPr="009F20E4">
              <w:rPr>
                <w:rFonts w:ascii="Times New Roman" w:hAnsi="Times New Roman" w:cs="Times New Roman"/>
                <w:sz w:val="24"/>
                <w:szCs w:val="24"/>
              </w:rPr>
              <w:t xml:space="preserve"> </w:t>
            </w:r>
            <w:proofErr w:type="spellStart"/>
            <w:r w:rsidRPr="009F20E4">
              <w:rPr>
                <w:rFonts w:ascii="Times New Roman" w:hAnsi="Times New Roman" w:cs="Times New Roman"/>
                <w:sz w:val="24"/>
                <w:szCs w:val="24"/>
              </w:rPr>
              <w:t>the</w:t>
            </w:r>
            <w:proofErr w:type="spellEnd"/>
            <w:r w:rsidRPr="009F20E4">
              <w:rPr>
                <w:rFonts w:ascii="Times New Roman" w:hAnsi="Times New Roman" w:cs="Times New Roman"/>
                <w:sz w:val="24"/>
                <w:szCs w:val="24"/>
              </w:rPr>
              <w:t xml:space="preserve"> </w:t>
            </w:r>
            <w:proofErr w:type="spellStart"/>
            <w:r w:rsidRPr="009F20E4">
              <w:rPr>
                <w:rFonts w:ascii="Times New Roman" w:hAnsi="Times New Roman" w:cs="Times New Roman"/>
                <w:sz w:val="24"/>
                <w:szCs w:val="24"/>
              </w:rPr>
              <w:t>minimum</w:t>
            </w:r>
            <w:proofErr w:type="spellEnd"/>
            <w:r w:rsidRPr="009F20E4">
              <w:rPr>
                <w:rFonts w:ascii="Times New Roman" w:hAnsi="Times New Roman" w:cs="Times New Roman"/>
                <w:sz w:val="24"/>
                <w:szCs w:val="24"/>
              </w:rPr>
              <w:t xml:space="preserve"> </w:t>
            </w:r>
            <w:proofErr w:type="spellStart"/>
            <w:r w:rsidRPr="009F20E4">
              <w:rPr>
                <w:rFonts w:ascii="Times New Roman" w:hAnsi="Times New Roman" w:cs="Times New Roman"/>
                <w:sz w:val="24"/>
                <w:szCs w:val="24"/>
              </w:rPr>
              <w:t>of</w:t>
            </w:r>
            <w:proofErr w:type="spellEnd"/>
            <w:r w:rsidRPr="009F20E4">
              <w:rPr>
                <w:rFonts w:ascii="Times New Roman" w:hAnsi="Times New Roman" w:cs="Times New Roman"/>
                <w:sz w:val="24"/>
                <w:szCs w:val="24"/>
              </w:rPr>
              <w:t xml:space="preserve"> 50% </w:t>
            </w:r>
            <w:proofErr w:type="spellStart"/>
            <w:r w:rsidRPr="009F20E4">
              <w:rPr>
                <w:rFonts w:ascii="Times New Roman" w:hAnsi="Times New Roman" w:cs="Times New Roman"/>
                <w:sz w:val="24"/>
                <w:szCs w:val="24"/>
              </w:rPr>
              <w:t>of</w:t>
            </w:r>
            <w:proofErr w:type="spellEnd"/>
            <w:r w:rsidRPr="009F20E4">
              <w:rPr>
                <w:rFonts w:ascii="Times New Roman" w:hAnsi="Times New Roman" w:cs="Times New Roman"/>
                <w:sz w:val="24"/>
                <w:szCs w:val="24"/>
              </w:rPr>
              <w:t xml:space="preserve"> </w:t>
            </w:r>
            <w:proofErr w:type="spellStart"/>
            <w:r w:rsidRPr="009F20E4">
              <w:rPr>
                <w:rFonts w:ascii="Times New Roman" w:hAnsi="Times New Roman" w:cs="Times New Roman"/>
                <w:sz w:val="24"/>
                <w:szCs w:val="24"/>
              </w:rPr>
              <w:t>this</w:t>
            </w:r>
            <w:proofErr w:type="spellEnd"/>
            <w:r w:rsidRPr="009F20E4">
              <w:rPr>
                <w:rFonts w:ascii="Times New Roman" w:hAnsi="Times New Roman" w:cs="Times New Roman"/>
                <w:sz w:val="24"/>
                <w:szCs w:val="24"/>
              </w:rPr>
              <w:t xml:space="preserve"> </w:t>
            </w:r>
            <w:proofErr w:type="spellStart"/>
            <w:r w:rsidRPr="009F20E4">
              <w:rPr>
                <w:rFonts w:ascii="Times New Roman" w:hAnsi="Times New Roman" w:cs="Times New Roman"/>
                <w:sz w:val="24"/>
                <w:szCs w:val="24"/>
              </w:rPr>
              <w:t>criterion</w:t>
            </w:r>
            <w:proofErr w:type="spellEnd"/>
            <w:r w:rsidRPr="009F20E4">
              <w:rPr>
                <w:rFonts w:ascii="Times New Roman" w:hAnsi="Times New Roman" w:cs="Times New Roman"/>
                <w:sz w:val="24"/>
                <w:szCs w:val="24"/>
              </w:rPr>
              <w:t>.</w:t>
            </w:r>
            <w:r w:rsidR="001C29D3" w:rsidRPr="003A3B73">
              <w:rPr>
                <w:rFonts w:ascii="Times New Roman" w:hAnsi="Times New Roman" w:cs="Times New Roman"/>
                <w:color w:val="000000" w:themeColor="text1"/>
                <w:sz w:val="24"/>
                <w:szCs w:val="24"/>
              </w:rPr>
              <w:t>.</w:t>
            </w:r>
          </w:p>
          <w:p w14:paraId="391D84A7" w14:textId="77777777" w:rsidR="001C29D3" w:rsidRDefault="001C29D3" w:rsidP="00D00FAA">
            <w:pPr>
              <w:tabs>
                <w:tab w:val="clear" w:pos="720"/>
                <w:tab w:val="left" w:pos="-1440"/>
              </w:tabs>
              <w:suppressAutoHyphens w:val="0"/>
              <w:spacing w:after="0"/>
              <w:ind w:right="8"/>
              <w:jc w:val="both"/>
              <w:rPr>
                <w:rFonts w:ascii="Times New Roman" w:eastAsia="Calibri" w:hAnsi="Times New Roman" w:cs="Times New Roman"/>
                <w:color w:val="auto"/>
                <w:szCs w:val="20"/>
                <w:lang w:val="en-GB"/>
              </w:rPr>
            </w:pPr>
          </w:p>
          <w:p w14:paraId="189E9411" w14:textId="77777777" w:rsidR="000359A7" w:rsidRPr="003A3B73" w:rsidRDefault="000359A7" w:rsidP="00D00FAA">
            <w:pPr>
              <w:tabs>
                <w:tab w:val="clear" w:pos="720"/>
                <w:tab w:val="left" w:pos="-1440"/>
              </w:tabs>
              <w:suppressAutoHyphens w:val="0"/>
              <w:spacing w:after="0"/>
              <w:ind w:right="8"/>
              <w:jc w:val="both"/>
              <w:rPr>
                <w:rFonts w:ascii="Times New Roman" w:eastAsia="Calibri" w:hAnsi="Times New Roman" w:cs="Times New Roman"/>
                <w:color w:val="auto"/>
                <w:szCs w:val="20"/>
                <w:lang w:val="en-GB"/>
              </w:rPr>
            </w:pPr>
          </w:p>
          <w:p w14:paraId="023B13BE" w14:textId="367C8BC6" w:rsidR="008C69E9" w:rsidRDefault="008C69E9" w:rsidP="009F20E4">
            <w:pPr>
              <w:tabs>
                <w:tab w:val="clear" w:pos="720"/>
              </w:tabs>
              <w:suppressAutoHyphens w:val="0"/>
              <w:spacing w:after="120" w:line="240" w:lineRule="auto"/>
              <w:jc w:val="both"/>
              <w:rPr>
                <w:rFonts w:ascii="Times New Roman" w:hAnsi="Times New Roman" w:cs="Times New Roman"/>
                <w:b/>
                <w:sz w:val="24"/>
                <w:szCs w:val="24"/>
              </w:rPr>
            </w:pPr>
            <w:proofErr w:type="spellStart"/>
            <w:r w:rsidRPr="009F20E4">
              <w:rPr>
                <w:rFonts w:ascii="Times New Roman" w:hAnsi="Times New Roman" w:cs="Times New Roman"/>
                <w:b/>
                <w:sz w:val="24"/>
                <w:szCs w:val="24"/>
              </w:rPr>
              <w:t>Human</w:t>
            </w:r>
            <w:proofErr w:type="spellEnd"/>
            <w:r w:rsidRPr="009F20E4">
              <w:rPr>
                <w:rFonts w:ascii="Times New Roman" w:hAnsi="Times New Roman" w:cs="Times New Roman"/>
                <w:b/>
                <w:sz w:val="24"/>
                <w:szCs w:val="24"/>
              </w:rPr>
              <w:t xml:space="preserve"> </w:t>
            </w:r>
            <w:proofErr w:type="spellStart"/>
            <w:r w:rsidRPr="009F20E4">
              <w:rPr>
                <w:rFonts w:ascii="Times New Roman" w:hAnsi="Times New Roman" w:cs="Times New Roman"/>
                <w:b/>
                <w:sz w:val="24"/>
                <w:szCs w:val="24"/>
              </w:rPr>
              <w:t>capacities</w:t>
            </w:r>
            <w:proofErr w:type="spellEnd"/>
            <w:r w:rsidRPr="009F20E4">
              <w:rPr>
                <w:rFonts w:ascii="Times New Roman" w:hAnsi="Times New Roman" w:cs="Times New Roman"/>
                <w:b/>
                <w:sz w:val="24"/>
                <w:szCs w:val="24"/>
              </w:rPr>
              <w:t xml:space="preserve">. </w:t>
            </w:r>
          </w:p>
          <w:p w14:paraId="7CA70DAB" w14:textId="77777777" w:rsidR="000359A7" w:rsidRPr="009F20E4" w:rsidRDefault="000359A7" w:rsidP="009F20E4">
            <w:pPr>
              <w:tabs>
                <w:tab w:val="clear" w:pos="720"/>
              </w:tabs>
              <w:suppressAutoHyphens w:val="0"/>
              <w:spacing w:after="120" w:line="240" w:lineRule="auto"/>
              <w:jc w:val="both"/>
              <w:rPr>
                <w:rFonts w:ascii="Times New Roman" w:hAnsi="Times New Roman" w:cs="Times New Roman"/>
                <w:sz w:val="24"/>
                <w:szCs w:val="24"/>
              </w:rPr>
            </w:pPr>
          </w:p>
          <w:p w14:paraId="704F9781" w14:textId="1E2D3DDB" w:rsidR="009F20E4" w:rsidRDefault="008C69E9" w:rsidP="009F20E4">
            <w:pPr>
              <w:pStyle w:val="ListParagraph"/>
              <w:numPr>
                <w:ilvl w:val="0"/>
                <w:numId w:val="36"/>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b/>
                <w:color w:val="auto"/>
                <w:sz w:val="24"/>
                <w:lang w:val="en-GB"/>
              </w:rPr>
              <w:t xml:space="preserve">Total number of employees. </w:t>
            </w:r>
            <w:r w:rsidR="009F20E4" w:rsidRPr="009F20E4">
              <w:rPr>
                <w:rFonts w:ascii="Times New Roman" w:eastAsia="Times New Roman" w:hAnsi="Times New Roman" w:cs="Times New Roman"/>
                <w:color w:val="auto"/>
                <w:sz w:val="24"/>
                <w:lang w:val="en-GB"/>
              </w:rPr>
              <w:t xml:space="preserve">The Tenderer in the month preceding the month of the publication of this Tender Notice </w:t>
            </w:r>
            <w:r w:rsidR="00C960AD" w:rsidRPr="009F20E4">
              <w:rPr>
                <w:rFonts w:ascii="Times New Roman" w:eastAsia="Times New Roman" w:hAnsi="Times New Roman" w:cs="Times New Roman"/>
                <w:color w:val="auto"/>
                <w:sz w:val="24"/>
                <w:lang w:val="en-GB"/>
              </w:rPr>
              <w:t>employees</w:t>
            </w:r>
            <w:r w:rsidR="009F20E4" w:rsidRPr="009F20E4">
              <w:rPr>
                <w:rFonts w:ascii="Times New Roman" w:eastAsia="Times New Roman" w:hAnsi="Times New Roman" w:cs="Times New Roman"/>
                <w:color w:val="auto"/>
                <w:sz w:val="24"/>
                <w:lang w:val="en-GB"/>
              </w:rPr>
              <w:t>.</w:t>
            </w:r>
          </w:p>
          <w:p w14:paraId="5BCF8145" w14:textId="77777777" w:rsidR="000359A7" w:rsidRPr="009F20E4" w:rsidRDefault="000359A7" w:rsidP="000359A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38741C49" w14:textId="31B96643" w:rsidR="009F20E4" w:rsidRPr="009F20E4" w:rsidRDefault="009F20E4" w:rsidP="009F20E4">
            <w:pPr>
              <w:pStyle w:val="ListParagraph"/>
              <w:numPr>
                <w:ilvl w:val="0"/>
                <w:numId w:val="37"/>
              </w:numPr>
              <w:tabs>
                <w:tab w:val="clear" w:pos="720"/>
              </w:tabs>
              <w:suppressAutoHyphens w:val="0"/>
              <w:spacing w:after="0"/>
              <w:ind w:left="1106"/>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color w:val="auto"/>
                <w:sz w:val="24"/>
                <w:lang w:val="en-GB"/>
              </w:rPr>
              <w:lastRenderedPageBreak/>
              <w:t xml:space="preserve">For Lot 1; at least </w:t>
            </w:r>
            <w:r w:rsidR="00A24781">
              <w:rPr>
                <w:rFonts w:ascii="Times New Roman" w:eastAsia="Times New Roman" w:hAnsi="Times New Roman" w:cs="Times New Roman"/>
                <w:color w:val="auto"/>
                <w:sz w:val="24"/>
                <w:lang w:val="en-GB"/>
              </w:rPr>
              <w:t>8</w:t>
            </w:r>
            <w:r w:rsidRPr="009F20E4">
              <w:rPr>
                <w:rFonts w:ascii="Times New Roman" w:eastAsia="Times New Roman" w:hAnsi="Times New Roman" w:cs="Times New Roman"/>
                <w:color w:val="auto"/>
                <w:sz w:val="24"/>
                <w:lang w:val="en-GB"/>
              </w:rPr>
              <w:t xml:space="preserve">0 persons, out of which at least </w:t>
            </w:r>
            <w:r w:rsidR="00321E2E">
              <w:rPr>
                <w:rFonts w:ascii="Times New Roman" w:eastAsia="Times New Roman" w:hAnsi="Times New Roman" w:cs="Times New Roman"/>
                <w:color w:val="auto"/>
                <w:sz w:val="24"/>
                <w:lang w:val="en-GB"/>
              </w:rPr>
              <w:t>5</w:t>
            </w:r>
            <w:r w:rsidRPr="009F20E4">
              <w:rPr>
                <w:rFonts w:ascii="Times New Roman" w:eastAsia="Times New Roman" w:hAnsi="Times New Roman" w:cs="Times New Roman"/>
                <w:color w:val="auto"/>
                <w:sz w:val="24"/>
                <w:lang w:val="en-GB"/>
              </w:rPr>
              <w:t xml:space="preserve">0 are technical </w:t>
            </w:r>
            <w:r w:rsidR="00C960AD" w:rsidRPr="009F20E4">
              <w:rPr>
                <w:rFonts w:ascii="Times New Roman" w:eastAsia="Times New Roman" w:hAnsi="Times New Roman" w:cs="Times New Roman"/>
                <w:color w:val="auto"/>
                <w:sz w:val="24"/>
                <w:lang w:val="en-GB"/>
              </w:rPr>
              <w:t>personnel</w:t>
            </w:r>
            <w:r w:rsidRPr="009F20E4">
              <w:rPr>
                <w:rFonts w:ascii="Times New Roman" w:eastAsia="Times New Roman" w:hAnsi="Times New Roman" w:cs="Times New Roman"/>
                <w:color w:val="auto"/>
                <w:sz w:val="24"/>
                <w:lang w:val="en-GB"/>
              </w:rPr>
              <w:t xml:space="preserve"> *</w:t>
            </w:r>
          </w:p>
          <w:p w14:paraId="596DF010" w14:textId="5FD9F6A5" w:rsidR="009F20E4" w:rsidRDefault="009F20E4" w:rsidP="009F20E4">
            <w:pPr>
              <w:pStyle w:val="ListParagraph"/>
              <w:numPr>
                <w:ilvl w:val="0"/>
                <w:numId w:val="37"/>
              </w:numPr>
              <w:tabs>
                <w:tab w:val="clear" w:pos="720"/>
              </w:tabs>
              <w:suppressAutoHyphens w:val="0"/>
              <w:spacing w:after="0"/>
              <w:ind w:left="1106"/>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color w:val="auto"/>
                <w:sz w:val="24"/>
                <w:lang w:val="en-GB"/>
              </w:rPr>
              <w:t xml:space="preserve">For Lot 2: at least </w:t>
            </w:r>
            <w:r w:rsidR="00321E2E">
              <w:rPr>
                <w:rFonts w:ascii="Times New Roman" w:eastAsia="Times New Roman" w:hAnsi="Times New Roman" w:cs="Times New Roman"/>
                <w:color w:val="auto"/>
                <w:sz w:val="24"/>
                <w:lang w:val="en-GB"/>
              </w:rPr>
              <w:t>5</w:t>
            </w:r>
            <w:r w:rsidRPr="009F20E4">
              <w:rPr>
                <w:rFonts w:ascii="Times New Roman" w:eastAsia="Times New Roman" w:hAnsi="Times New Roman" w:cs="Times New Roman"/>
                <w:color w:val="auto"/>
                <w:sz w:val="24"/>
                <w:lang w:val="en-GB"/>
              </w:rPr>
              <w:t xml:space="preserve">0 persons, out of which at least </w:t>
            </w:r>
            <w:r w:rsidR="00321E2E">
              <w:rPr>
                <w:rFonts w:ascii="Times New Roman" w:eastAsia="Times New Roman" w:hAnsi="Times New Roman" w:cs="Times New Roman"/>
                <w:color w:val="auto"/>
                <w:sz w:val="24"/>
                <w:lang w:val="en-GB"/>
              </w:rPr>
              <w:t>3</w:t>
            </w:r>
            <w:r w:rsidRPr="009F20E4">
              <w:rPr>
                <w:rFonts w:ascii="Times New Roman" w:eastAsia="Times New Roman" w:hAnsi="Times New Roman" w:cs="Times New Roman"/>
                <w:color w:val="auto"/>
                <w:sz w:val="24"/>
                <w:lang w:val="en-GB"/>
              </w:rPr>
              <w:t xml:space="preserve">0 are technical </w:t>
            </w:r>
            <w:r w:rsidR="00C960AD" w:rsidRPr="009F20E4">
              <w:rPr>
                <w:rFonts w:ascii="Times New Roman" w:eastAsia="Times New Roman" w:hAnsi="Times New Roman" w:cs="Times New Roman"/>
                <w:color w:val="auto"/>
                <w:sz w:val="24"/>
                <w:lang w:val="en-GB"/>
              </w:rPr>
              <w:t>personnel</w:t>
            </w:r>
            <w:r w:rsidRPr="009F20E4">
              <w:rPr>
                <w:rFonts w:ascii="Times New Roman" w:eastAsia="Times New Roman" w:hAnsi="Times New Roman" w:cs="Times New Roman"/>
                <w:color w:val="auto"/>
                <w:sz w:val="24"/>
                <w:lang w:val="en-GB"/>
              </w:rPr>
              <w:t xml:space="preserve"> *</w:t>
            </w:r>
          </w:p>
          <w:p w14:paraId="429F2908" w14:textId="77777777" w:rsidR="000359A7" w:rsidRPr="009F20E4" w:rsidRDefault="000359A7" w:rsidP="000359A7">
            <w:pPr>
              <w:pStyle w:val="ListParagraph"/>
              <w:tabs>
                <w:tab w:val="clear" w:pos="720"/>
              </w:tabs>
              <w:suppressAutoHyphens w:val="0"/>
              <w:spacing w:after="0"/>
              <w:ind w:left="1106"/>
              <w:contextualSpacing/>
              <w:jc w:val="both"/>
              <w:rPr>
                <w:rFonts w:ascii="Times New Roman" w:eastAsia="Times New Roman" w:hAnsi="Times New Roman" w:cs="Times New Roman"/>
                <w:color w:val="auto"/>
                <w:sz w:val="24"/>
                <w:lang w:val="en-GB"/>
              </w:rPr>
            </w:pPr>
          </w:p>
          <w:p w14:paraId="699F83F4" w14:textId="77777777" w:rsidR="009F20E4" w:rsidRPr="009F20E4" w:rsidRDefault="009F20E4" w:rsidP="009F20E4">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color w:val="auto"/>
                <w:sz w:val="24"/>
                <w:lang w:val="en-GB"/>
              </w:rPr>
              <w:t>If the tenderer submits an offer for both lots, it must show that it has at least the sum of the minimum number of persons for the lots for which it submits a tender.</w:t>
            </w:r>
          </w:p>
          <w:p w14:paraId="2796284B" w14:textId="77777777" w:rsidR="009F20E4" w:rsidRPr="009F20E4" w:rsidRDefault="009F20E4" w:rsidP="009F20E4">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color w:val="auto"/>
                <w:sz w:val="24"/>
                <w:lang w:val="en-GB"/>
              </w:rPr>
              <w:t>Consortium: The leading partner of the joint venture/consortium must fulfil the minimum of 50% of this criterion.</w:t>
            </w:r>
          </w:p>
          <w:p w14:paraId="2DAF1C0F" w14:textId="3A620525" w:rsidR="00021B24" w:rsidRPr="00BE6E6A" w:rsidRDefault="009F20E4" w:rsidP="00BE6E6A">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color w:val="auto"/>
                <w:sz w:val="24"/>
                <w:lang w:val="en-GB"/>
              </w:rPr>
              <w:t>* Please refer to Form 4.6.1.1</w:t>
            </w:r>
          </w:p>
          <w:p w14:paraId="66472A9B" w14:textId="77777777" w:rsidR="000359A7" w:rsidRPr="00021B24" w:rsidRDefault="000359A7" w:rsidP="009A0136">
            <w:pPr>
              <w:pStyle w:val="ListParagraph"/>
              <w:ind w:firstLine="696"/>
              <w:contextualSpacing/>
              <w:rPr>
                <w:rFonts w:ascii="Times New Roman" w:eastAsia="Calibri" w:hAnsi="Times New Roman" w:cs="Times New Roman"/>
                <w:color w:val="000000" w:themeColor="text1"/>
                <w:sz w:val="24"/>
                <w:szCs w:val="24"/>
                <w:lang w:val="sr-Latn-CS"/>
              </w:rPr>
            </w:pPr>
          </w:p>
          <w:p w14:paraId="4FC69066" w14:textId="77777777" w:rsidR="009F20E4" w:rsidRDefault="00021B24" w:rsidP="009F20E4">
            <w:pPr>
              <w:pStyle w:val="ListParagraph"/>
              <w:numPr>
                <w:ilvl w:val="0"/>
                <w:numId w:val="36"/>
              </w:numPr>
              <w:tabs>
                <w:tab w:val="clear" w:pos="720"/>
              </w:tabs>
              <w:suppressAutoHyphens w:val="0"/>
              <w:spacing w:after="0"/>
              <w:contextualSpacing/>
              <w:jc w:val="both"/>
              <w:rPr>
                <w:rFonts w:ascii="Times New Roman" w:hAnsi="Times New Roman" w:cs="Times New Roman"/>
                <w:color w:val="000000" w:themeColor="text1"/>
                <w:sz w:val="24"/>
                <w:szCs w:val="24"/>
              </w:rPr>
            </w:pPr>
            <w:proofErr w:type="spellStart"/>
            <w:r w:rsidRPr="00021B24">
              <w:rPr>
                <w:rFonts w:ascii="Times New Roman" w:hAnsi="Times New Roman" w:cs="Times New Roman"/>
                <w:color w:val="000000" w:themeColor="text1"/>
                <w:sz w:val="24"/>
                <w:szCs w:val="24"/>
              </w:rPr>
              <w:t>The</w:t>
            </w:r>
            <w:proofErr w:type="spellEnd"/>
            <w:r w:rsidRPr="00021B24">
              <w:rPr>
                <w:rFonts w:ascii="Times New Roman" w:hAnsi="Times New Roman" w:cs="Times New Roman"/>
                <w:color w:val="000000" w:themeColor="text1"/>
                <w:sz w:val="24"/>
                <w:szCs w:val="24"/>
              </w:rPr>
              <w:t xml:space="preserve"> </w:t>
            </w:r>
            <w:proofErr w:type="spellStart"/>
            <w:r w:rsidRPr="00021B24">
              <w:rPr>
                <w:rFonts w:ascii="Times New Roman" w:hAnsi="Times New Roman" w:cs="Times New Roman"/>
                <w:color w:val="000000" w:themeColor="text1"/>
                <w:sz w:val="24"/>
                <w:szCs w:val="24"/>
              </w:rPr>
              <w:t>Tenderer</w:t>
            </w:r>
            <w:proofErr w:type="spellEnd"/>
            <w:r w:rsidRPr="00021B2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b/>
                <w:color w:val="000000" w:themeColor="text1"/>
                <w:sz w:val="24"/>
                <w:szCs w:val="24"/>
              </w:rPr>
              <w:t>has</w:t>
            </w:r>
            <w:proofErr w:type="spellEnd"/>
            <w:r w:rsidRPr="009F20E4">
              <w:rPr>
                <w:rFonts w:ascii="Times New Roman" w:hAnsi="Times New Roman" w:cs="Times New Roman"/>
                <w:b/>
                <w:color w:val="000000" w:themeColor="text1"/>
                <w:sz w:val="24"/>
                <w:szCs w:val="24"/>
              </w:rPr>
              <w:t xml:space="preserve"> </w:t>
            </w:r>
            <w:proofErr w:type="spellStart"/>
            <w:r w:rsidRPr="009F20E4">
              <w:rPr>
                <w:rFonts w:ascii="Times New Roman" w:hAnsi="Times New Roman" w:cs="Times New Roman"/>
                <w:b/>
                <w:color w:val="000000" w:themeColor="text1"/>
                <w:sz w:val="24"/>
                <w:szCs w:val="24"/>
              </w:rPr>
              <w:t>the</w:t>
            </w:r>
            <w:proofErr w:type="spellEnd"/>
            <w:r w:rsidRPr="009F20E4">
              <w:rPr>
                <w:rFonts w:ascii="Times New Roman" w:hAnsi="Times New Roman" w:cs="Times New Roman"/>
                <w:b/>
                <w:color w:val="000000" w:themeColor="text1"/>
                <w:sz w:val="24"/>
                <w:szCs w:val="24"/>
              </w:rPr>
              <w:t xml:space="preserve"> </w:t>
            </w:r>
            <w:proofErr w:type="spellStart"/>
            <w:r w:rsidRPr="009F20E4">
              <w:rPr>
                <w:rFonts w:ascii="Times New Roman" w:hAnsi="Times New Roman" w:cs="Times New Roman"/>
                <w:b/>
                <w:color w:val="000000" w:themeColor="text1"/>
                <w:sz w:val="24"/>
                <w:szCs w:val="24"/>
              </w:rPr>
              <w:t>following</w:t>
            </w:r>
            <w:proofErr w:type="spellEnd"/>
            <w:r w:rsidRPr="009F20E4">
              <w:rPr>
                <w:rFonts w:ascii="Times New Roman" w:hAnsi="Times New Roman" w:cs="Times New Roman"/>
                <w:b/>
                <w:color w:val="000000" w:themeColor="text1"/>
                <w:sz w:val="24"/>
                <w:szCs w:val="24"/>
              </w:rPr>
              <w:t xml:space="preserve"> </w:t>
            </w:r>
            <w:proofErr w:type="spellStart"/>
            <w:r w:rsidRPr="009F20E4">
              <w:rPr>
                <w:rFonts w:ascii="Times New Roman" w:hAnsi="Times New Roman" w:cs="Times New Roman"/>
                <w:b/>
                <w:color w:val="000000" w:themeColor="text1"/>
                <w:sz w:val="24"/>
                <w:szCs w:val="24"/>
              </w:rPr>
              <w:t>employees</w:t>
            </w:r>
            <w:proofErr w:type="spellEnd"/>
            <w:r w:rsidRPr="00021B2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holders</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of</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the</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engineering</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licenses</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listed</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below</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in</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the</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month</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preceding</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the</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month</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of</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the</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publication</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of</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this</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Tender</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Notice</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the</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criterium</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refers</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to</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both</w:t>
            </w:r>
            <w:proofErr w:type="spellEnd"/>
            <w:r w:rsidR="009F20E4" w:rsidRPr="009F20E4">
              <w:rPr>
                <w:rFonts w:ascii="Times New Roman" w:hAnsi="Times New Roman" w:cs="Times New Roman"/>
                <w:color w:val="000000" w:themeColor="text1"/>
                <w:sz w:val="24"/>
                <w:szCs w:val="24"/>
              </w:rPr>
              <w:t xml:space="preserve"> </w:t>
            </w:r>
            <w:proofErr w:type="spellStart"/>
            <w:r w:rsidR="009F20E4" w:rsidRPr="009F20E4">
              <w:rPr>
                <w:rFonts w:ascii="Times New Roman" w:hAnsi="Times New Roman" w:cs="Times New Roman"/>
                <w:color w:val="000000" w:themeColor="text1"/>
                <w:sz w:val="24"/>
                <w:szCs w:val="24"/>
              </w:rPr>
              <w:t>Lots</w:t>
            </w:r>
            <w:proofErr w:type="spellEnd"/>
            <w:r w:rsidR="009F20E4" w:rsidRPr="009F20E4">
              <w:rPr>
                <w:rFonts w:ascii="Times New Roman" w:hAnsi="Times New Roman" w:cs="Times New Roman"/>
                <w:color w:val="000000" w:themeColor="text1"/>
                <w:sz w:val="24"/>
                <w:szCs w:val="24"/>
              </w:rPr>
              <w:t>)**:</w:t>
            </w:r>
          </w:p>
          <w:p w14:paraId="6EF5E022" w14:textId="77777777" w:rsidR="000359A7" w:rsidRPr="009F20E4" w:rsidRDefault="000359A7" w:rsidP="000359A7">
            <w:pPr>
              <w:pStyle w:val="ListParagraph"/>
              <w:tabs>
                <w:tab w:val="clear" w:pos="720"/>
              </w:tabs>
              <w:suppressAutoHyphens w:val="0"/>
              <w:spacing w:after="0"/>
              <w:contextualSpacing/>
              <w:jc w:val="both"/>
              <w:rPr>
                <w:rFonts w:ascii="Times New Roman" w:hAnsi="Times New Roman" w:cs="Times New Roman"/>
                <w:color w:val="000000" w:themeColor="text1"/>
                <w:sz w:val="24"/>
                <w:szCs w:val="24"/>
              </w:rPr>
            </w:pPr>
          </w:p>
          <w:p w14:paraId="0F9E8C13" w14:textId="377F861F" w:rsidR="009F20E4" w:rsidRPr="000359A7" w:rsidRDefault="009F20E4" w:rsidP="00321E2E">
            <w:pPr>
              <w:pStyle w:val="ListParagraph"/>
              <w:numPr>
                <w:ilvl w:val="0"/>
                <w:numId w:val="37"/>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0359A7">
              <w:rPr>
                <w:rFonts w:ascii="Times New Roman" w:eastAsia="Times New Roman" w:hAnsi="Times New Roman" w:cs="Times New Roman"/>
                <w:color w:val="auto"/>
                <w:sz w:val="24"/>
                <w:lang w:val="en-GB"/>
              </w:rPr>
              <w:t>1 civil engineer, licences 410 or 411</w:t>
            </w:r>
            <w:r w:rsidR="00321E2E" w:rsidRPr="000359A7">
              <w:rPr>
                <w:rFonts w:ascii="Times New Roman" w:eastAsia="Times New Roman" w:hAnsi="Times New Roman" w:cs="Times New Roman"/>
                <w:color w:val="auto"/>
                <w:sz w:val="24"/>
                <w:lang w:val="en-GB"/>
              </w:rPr>
              <w:t xml:space="preserve"> or ГИ 04-04.1</w:t>
            </w:r>
          </w:p>
          <w:p w14:paraId="50706169" w14:textId="2AFFF96F" w:rsidR="009F20E4" w:rsidRDefault="009F20E4" w:rsidP="00321E2E">
            <w:pPr>
              <w:pStyle w:val="ListParagraph"/>
              <w:numPr>
                <w:ilvl w:val="0"/>
                <w:numId w:val="37"/>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0359A7">
              <w:rPr>
                <w:rFonts w:ascii="Times New Roman" w:eastAsia="Times New Roman" w:hAnsi="Times New Roman" w:cs="Times New Roman"/>
                <w:color w:val="auto"/>
                <w:sz w:val="24"/>
                <w:lang w:val="en-GB"/>
              </w:rPr>
              <w:t>1 architect, licence 400 or 401</w:t>
            </w:r>
            <w:r w:rsidR="00321E2E" w:rsidRPr="000359A7">
              <w:rPr>
                <w:rFonts w:ascii="Times New Roman" w:eastAsia="Times New Roman" w:hAnsi="Times New Roman" w:cs="Times New Roman"/>
                <w:color w:val="auto"/>
                <w:sz w:val="24"/>
                <w:lang w:val="en-GB"/>
              </w:rPr>
              <w:t xml:space="preserve"> or АИ 02-01</w:t>
            </w:r>
          </w:p>
          <w:p w14:paraId="69A47C73" w14:textId="77777777" w:rsidR="000359A7" w:rsidRPr="000359A7" w:rsidRDefault="000359A7" w:rsidP="000359A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0255CEF1" w14:textId="77777777" w:rsidR="009F20E4" w:rsidRPr="009F20E4" w:rsidRDefault="009F20E4" w:rsidP="009F20E4">
            <w:pPr>
              <w:pStyle w:val="ListParagraph"/>
              <w:tabs>
                <w:tab w:val="clear" w:pos="720"/>
              </w:tabs>
              <w:suppressAutoHyphens w:val="0"/>
              <w:spacing w:after="0"/>
              <w:contextualSpacing/>
              <w:jc w:val="both"/>
              <w:rPr>
                <w:rFonts w:ascii="Times New Roman" w:hAnsi="Times New Roman" w:cs="Times New Roman"/>
                <w:color w:val="000000" w:themeColor="text1"/>
                <w:sz w:val="24"/>
                <w:szCs w:val="24"/>
              </w:rPr>
            </w:pPr>
            <w:proofErr w:type="spellStart"/>
            <w:r w:rsidRPr="009F20E4">
              <w:rPr>
                <w:rFonts w:ascii="Times New Roman" w:hAnsi="Times New Roman" w:cs="Times New Roman"/>
                <w:color w:val="000000" w:themeColor="text1"/>
                <w:sz w:val="24"/>
                <w:szCs w:val="24"/>
              </w:rPr>
              <w:t>If</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the</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tenderer</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submits</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an</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offer</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for</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both</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lots</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it</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must</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show</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that</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it</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has</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at</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least</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the</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sum</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of</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the</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minimum</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number</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of</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persons</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for</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the</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lots</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for</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which</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it</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submits</w:t>
            </w:r>
            <w:proofErr w:type="spellEnd"/>
            <w:r w:rsidRPr="009F20E4">
              <w:rPr>
                <w:rFonts w:ascii="Times New Roman" w:hAnsi="Times New Roman" w:cs="Times New Roman"/>
                <w:color w:val="000000" w:themeColor="text1"/>
                <w:sz w:val="24"/>
                <w:szCs w:val="24"/>
              </w:rPr>
              <w:t xml:space="preserve"> a </w:t>
            </w:r>
            <w:proofErr w:type="spellStart"/>
            <w:r w:rsidRPr="009F20E4">
              <w:rPr>
                <w:rFonts w:ascii="Times New Roman" w:hAnsi="Times New Roman" w:cs="Times New Roman"/>
                <w:color w:val="000000" w:themeColor="text1"/>
                <w:sz w:val="24"/>
                <w:szCs w:val="24"/>
              </w:rPr>
              <w:t>tender</w:t>
            </w:r>
            <w:proofErr w:type="spellEnd"/>
            <w:r w:rsidRPr="009F20E4">
              <w:rPr>
                <w:rFonts w:ascii="Times New Roman" w:hAnsi="Times New Roman" w:cs="Times New Roman"/>
                <w:color w:val="000000" w:themeColor="text1"/>
                <w:sz w:val="24"/>
                <w:szCs w:val="24"/>
              </w:rPr>
              <w:t>.</w:t>
            </w:r>
          </w:p>
          <w:p w14:paraId="30F0A634" w14:textId="77777777" w:rsidR="009F20E4" w:rsidRPr="009F20E4" w:rsidRDefault="009F20E4" w:rsidP="009F20E4">
            <w:pPr>
              <w:pStyle w:val="ListParagraph"/>
              <w:tabs>
                <w:tab w:val="clear" w:pos="720"/>
              </w:tabs>
              <w:suppressAutoHyphens w:val="0"/>
              <w:spacing w:after="0"/>
              <w:contextualSpacing/>
              <w:jc w:val="both"/>
              <w:rPr>
                <w:rFonts w:ascii="Times New Roman" w:hAnsi="Times New Roman" w:cs="Times New Roman"/>
                <w:color w:val="000000" w:themeColor="text1"/>
                <w:sz w:val="24"/>
                <w:szCs w:val="24"/>
              </w:rPr>
            </w:pPr>
            <w:proofErr w:type="spellStart"/>
            <w:r w:rsidRPr="009F20E4">
              <w:rPr>
                <w:rFonts w:ascii="Times New Roman" w:hAnsi="Times New Roman" w:cs="Times New Roman"/>
                <w:color w:val="000000" w:themeColor="text1"/>
                <w:sz w:val="24"/>
                <w:szCs w:val="24"/>
              </w:rPr>
              <w:t>Consortium</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the</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leading</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partner</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of</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the</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joint</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tender</w:t>
            </w:r>
            <w:proofErr w:type="spellEnd"/>
            <w:r w:rsidRPr="009F20E4">
              <w:rPr>
                <w:rFonts w:ascii="Times New Roman" w:hAnsi="Times New Roman" w:cs="Times New Roman"/>
                <w:color w:val="000000" w:themeColor="text1"/>
                <w:sz w:val="24"/>
                <w:szCs w:val="24"/>
              </w:rPr>
              <w:t>/</w:t>
            </w:r>
            <w:proofErr w:type="spellStart"/>
            <w:r w:rsidRPr="009F20E4">
              <w:rPr>
                <w:rFonts w:ascii="Times New Roman" w:hAnsi="Times New Roman" w:cs="Times New Roman"/>
                <w:color w:val="000000" w:themeColor="text1"/>
                <w:sz w:val="24"/>
                <w:szCs w:val="24"/>
              </w:rPr>
              <w:t>consortium</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must</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fulfil</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the</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minimum</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of</w:t>
            </w:r>
            <w:proofErr w:type="spellEnd"/>
            <w:r w:rsidRPr="009F20E4">
              <w:rPr>
                <w:rFonts w:ascii="Times New Roman" w:hAnsi="Times New Roman" w:cs="Times New Roman"/>
                <w:color w:val="000000" w:themeColor="text1"/>
                <w:sz w:val="24"/>
                <w:szCs w:val="24"/>
              </w:rPr>
              <w:t xml:space="preserve"> 50% </w:t>
            </w:r>
            <w:proofErr w:type="spellStart"/>
            <w:r w:rsidRPr="009F20E4">
              <w:rPr>
                <w:rFonts w:ascii="Times New Roman" w:hAnsi="Times New Roman" w:cs="Times New Roman"/>
                <w:color w:val="000000" w:themeColor="text1"/>
                <w:sz w:val="24"/>
                <w:szCs w:val="24"/>
              </w:rPr>
              <w:t>of</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this</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criterion</w:t>
            </w:r>
            <w:proofErr w:type="spellEnd"/>
          </w:p>
          <w:p w14:paraId="1B24EAA4" w14:textId="77777777" w:rsidR="009F20E4" w:rsidRPr="009F20E4" w:rsidRDefault="009F20E4" w:rsidP="009F20E4">
            <w:pPr>
              <w:pStyle w:val="ListParagraph"/>
              <w:tabs>
                <w:tab w:val="clear" w:pos="720"/>
              </w:tabs>
              <w:suppressAutoHyphens w:val="0"/>
              <w:spacing w:after="0"/>
              <w:contextualSpacing/>
              <w:jc w:val="both"/>
              <w:rPr>
                <w:rFonts w:ascii="Times New Roman" w:hAnsi="Times New Roman" w:cs="Times New Roman"/>
                <w:color w:val="000000" w:themeColor="text1"/>
                <w:sz w:val="24"/>
                <w:szCs w:val="24"/>
              </w:rPr>
            </w:pPr>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Please</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refer</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to</w:t>
            </w:r>
            <w:proofErr w:type="spellEnd"/>
            <w:r w:rsidRPr="009F20E4">
              <w:rPr>
                <w:rFonts w:ascii="Times New Roman" w:hAnsi="Times New Roman" w:cs="Times New Roman"/>
                <w:color w:val="000000" w:themeColor="text1"/>
                <w:sz w:val="24"/>
                <w:szCs w:val="24"/>
              </w:rPr>
              <w:t xml:space="preserve"> </w:t>
            </w:r>
            <w:proofErr w:type="spellStart"/>
            <w:r w:rsidRPr="009F20E4">
              <w:rPr>
                <w:rFonts w:ascii="Times New Roman" w:hAnsi="Times New Roman" w:cs="Times New Roman"/>
                <w:color w:val="000000" w:themeColor="text1"/>
                <w:sz w:val="24"/>
                <w:szCs w:val="24"/>
              </w:rPr>
              <w:t>Form</w:t>
            </w:r>
            <w:proofErr w:type="spellEnd"/>
            <w:r w:rsidRPr="009F20E4">
              <w:rPr>
                <w:rFonts w:ascii="Times New Roman" w:hAnsi="Times New Roman" w:cs="Times New Roman"/>
                <w:color w:val="000000" w:themeColor="text1"/>
                <w:sz w:val="24"/>
                <w:szCs w:val="24"/>
              </w:rPr>
              <w:t xml:space="preserve"> 4.6.1.1a</w:t>
            </w:r>
          </w:p>
          <w:p w14:paraId="37CF2E52" w14:textId="77777777" w:rsidR="00021B24" w:rsidRPr="003A3B73" w:rsidRDefault="00021B24" w:rsidP="009A0136">
            <w:pPr>
              <w:tabs>
                <w:tab w:val="clear" w:pos="720"/>
              </w:tabs>
              <w:suppressAutoHyphens w:val="0"/>
              <w:spacing w:after="0"/>
              <w:contextualSpacing/>
              <w:jc w:val="both"/>
              <w:rPr>
                <w:rFonts w:ascii="Times New Roman" w:eastAsia="Times New Roman" w:hAnsi="Times New Roman" w:cs="Times New Roman"/>
                <w:b/>
                <w:color w:val="auto"/>
                <w:sz w:val="24"/>
                <w:lang w:val="en-GB"/>
              </w:rPr>
            </w:pPr>
          </w:p>
          <w:p w14:paraId="533A6C8D" w14:textId="1DD1C394" w:rsidR="000359A7" w:rsidRPr="00BE6E6A" w:rsidRDefault="008C69E9" w:rsidP="00BE6E6A">
            <w:pPr>
              <w:pStyle w:val="ListParagraph"/>
              <w:numPr>
                <w:ilvl w:val="0"/>
                <w:numId w:val="36"/>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b/>
                <w:color w:val="auto"/>
                <w:sz w:val="24"/>
                <w:lang w:val="en-GB"/>
              </w:rPr>
              <w:t xml:space="preserve">Professional team for project implementation. </w:t>
            </w:r>
            <w:r w:rsidRPr="003A3B73">
              <w:rPr>
                <w:rFonts w:ascii="Times New Roman" w:eastAsia="Times New Roman" w:hAnsi="Times New Roman" w:cs="Times New Roman"/>
                <w:color w:val="auto"/>
                <w:sz w:val="24"/>
                <w:lang w:val="en-GB"/>
              </w:rPr>
              <w:t>The tenderer must hire qualified persons who will work on project implementation, as follows:</w:t>
            </w:r>
          </w:p>
          <w:p w14:paraId="3DDF0495" w14:textId="77777777" w:rsidR="000359A7" w:rsidRPr="009F20E4" w:rsidRDefault="000359A7" w:rsidP="009A0136">
            <w:pPr>
              <w:pStyle w:val="ListParagraph"/>
              <w:tabs>
                <w:tab w:val="clear" w:pos="720"/>
              </w:tabs>
              <w:suppressAutoHyphens w:val="0"/>
              <w:spacing w:after="0"/>
              <w:contextualSpacing/>
              <w:jc w:val="both"/>
              <w:rPr>
                <w:rFonts w:ascii="Times New Roman" w:eastAsia="Times New Roman" w:hAnsi="Times New Roman" w:cs="Times New Roman"/>
                <w:color w:val="auto"/>
                <w:sz w:val="20"/>
                <w:szCs w:val="20"/>
                <w:lang w:val="en-GB"/>
              </w:rPr>
            </w:pPr>
          </w:p>
          <w:p w14:paraId="4E3F4F75" w14:textId="59F3ABD4" w:rsidR="009F20E4" w:rsidRPr="009F20E4" w:rsidRDefault="009F20E4" w:rsidP="009F20E4">
            <w:pPr>
              <w:pStyle w:val="ListParagraph"/>
              <w:suppressAutoHyphens w:val="0"/>
              <w:contextualSpacing/>
              <w:jc w:val="both"/>
              <w:rPr>
                <w:rFonts w:ascii="Times New Roman" w:hAnsi="Times New Roman" w:cs="Times New Roman"/>
                <w:b/>
                <w:sz w:val="20"/>
                <w:szCs w:val="20"/>
                <w:lang w:val="en-GB"/>
              </w:rPr>
            </w:pPr>
            <w:r w:rsidRPr="009F20E4">
              <w:rPr>
                <w:rFonts w:ascii="Times New Roman" w:hAnsi="Times New Roman" w:cs="Times New Roman"/>
                <w:b/>
                <w:sz w:val="20"/>
                <w:szCs w:val="20"/>
                <w:lang w:val="en-GB"/>
              </w:rPr>
              <w:t xml:space="preserve">Lot 1: Novi Sad and </w:t>
            </w:r>
            <w:proofErr w:type="spellStart"/>
            <w:r w:rsidRPr="009F20E4">
              <w:rPr>
                <w:rFonts w:ascii="Times New Roman" w:hAnsi="Times New Roman" w:cs="Times New Roman"/>
                <w:b/>
                <w:sz w:val="20"/>
                <w:szCs w:val="20"/>
                <w:lang w:val="en-GB"/>
              </w:rPr>
              <w:t>Vrbas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795"/>
              <w:gridCol w:w="1268"/>
              <w:gridCol w:w="1670"/>
              <w:gridCol w:w="2068"/>
            </w:tblGrid>
            <w:tr w:rsidR="009F20E4" w:rsidRPr="009F20E4" w14:paraId="6728A8F6" w14:textId="77777777" w:rsidTr="007A1797">
              <w:trPr>
                <w:trHeight w:val="284"/>
              </w:trPr>
              <w:tc>
                <w:tcPr>
                  <w:tcW w:w="1083" w:type="pct"/>
                  <w:shd w:val="clear" w:color="auto" w:fill="F2F2F2"/>
                  <w:vAlign w:val="center"/>
                </w:tcPr>
                <w:p w14:paraId="6DD80F32" w14:textId="77777777" w:rsidR="009F20E4" w:rsidRPr="009F20E4" w:rsidRDefault="009F20E4" w:rsidP="009F20E4">
                  <w:pPr>
                    <w:spacing w:after="0"/>
                    <w:rPr>
                      <w:rFonts w:ascii="Times New Roman" w:eastAsia="Calibri" w:hAnsi="Times New Roman" w:cs="Times New Roman"/>
                      <w:sz w:val="20"/>
                      <w:szCs w:val="20"/>
                    </w:rPr>
                  </w:pPr>
                  <w:proofErr w:type="spellStart"/>
                  <w:r w:rsidRPr="009F20E4">
                    <w:rPr>
                      <w:rFonts w:ascii="Times New Roman" w:eastAsia="Calibri" w:hAnsi="Times New Roman" w:cs="Times New Roman"/>
                      <w:sz w:val="20"/>
                      <w:szCs w:val="20"/>
                    </w:rPr>
                    <w:t>Position</w:t>
                  </w:r>
                  <w:proofErr w:type="spellEnd"/>
                  <w:r w:rsidRPr="009F20E4">
                    <w:rPr>
                      <w:rFonts w:ascii="Times New Roman" w:eastAsia="Calibri" w:hAnsi="Times New Roman" w:cs="Times New Roman"/>
                      <w:sz w:val="20"/>
                      <w:szCs w:val="20"/>
                    </w:rPr>
                    <w:t xml:space="preserve"> </w:t>
                  </w:r>
                </w:p>
              </w:tc>
              <w:tc>
                <w:tcPr>
                  <w:tcW w:w="1034" w:type="pct"/>
                  <w:shd w:val="clear" w:color="auto" w:fill="F2F2F2"/>
                  <w:vAlign w:val="center"/>
                </w:tcPr>
                <w:p w14:paraId="14CBED40" w14:textId="77777777" w:rsidR="009F20E4" w:rsidRPr="009F20E4" w:rsidRDefault="009F20E4" w:rsidP="009F20E4">
                  <w:pPr>
                    <w:spacing w:after="0"/>
                    <w:rPr>
                      <w:rFonts w:ascii="Times New Roman" w:eastAsia="Calibri" w:hAnsi="Times New Roman" w:cs="Times New Roman"/>
                      <w:sz w:val="20"/>
                      <w:szCs w:val="20"/>
                    </w:rPr>
                  </w:pPr>
                  <w:proofErr w:type="spellStart"/>
                  <w:r w:rsidRPr="009F20E4">
                    <w:rPr>
                      <w:rFonts w:ascii="Times New Roman" w:eastAsia="Calibri" w:hAnsi="Times New Roman" w:cs="Times New Roman"/>
                      <w:sz w:val="20"/>
                      <w:szCs w:val="20"/>
                    </w:rPr>
                    <w:t>Qualifications</w:t>
                  </w:r>
                  <w:proofErr w:type="spellEnd"/>
                  <w:r w:rsidRPr="009F20E4">
                    <w:rPr>
                      <w:rFonts w:ascii="Times New Roman" w:eastAsia="Calibri" w:hAnsi="Times New Roman" w:cs="Times New Roman"/>
                      <w:sz w:val="20"/>
                      <w:szCs w:val="20"/>
                    </w:rPr>
                    <w:t xml:space="preserve"> </w:t>
                  </w:r>
                </w:p>
              </w:tc>
              <w:tc>
                <w:tcPr>
                  <w:tcW w:w="730" w:type="pct"/>
                  <w:shd w:val="clear" w:color="auto" w:fill="F2F2F2"/>
                  <w:vAlign w:val="center"/>
                </w:tcPr>
                <w:p w14:paraId="6E595BEE" w14:textId="77777777" w:rsidR="009F20E4" w:rsidRPr="009337F6" w:rsidRDefault="009F20E4" w:rsidP="009F20E4">
                  <w:pPr>
                    <w:spacing w:after="0"/>
                    <w:jc w:val="center"/>
                    <w:rPr>
                      <w:rFonts w:ascii="Times New Roman" w:eastAsia="Calibri" w:hAnsi="Times New Roman" w:cs="Times New Roman"/>
                      <w:sz w:val="20"/>
                      <w:szCs w:val="20"/>
                    </w:rPr>
                  </w:pPr>
                  <w:proofErr w:type="spellStart"/>
                  <w:r w:rsidRPr="009337F6">
                    <w:rPr>
                      <w:rFonts w:ascii="Times New Roman" w:eastAsia="Calibri" w:hAnsi="Times New Roman" w:cs="Times New Roman"/>
                      <w:sz w:val="20"/>
                      <w:szCs w:val="20"/>
                    </w:rPr>
                    <w:t>Number</w:t>
                  </w:r>
                  <w:proofErr w:type="spellEnd"/>
                  <w:r w:rsidRPr="009337F6">
                    <w:rPr>
                      <w:rFonts w:ascii="Times New Roman" w:eastAsia="Calibri" w:hAnsi="Times New Roman" w:cs="Times New Roman"/>
                      <w:sz w:val="20"/>
                      <w:szCs w:val="20"/>
                    </w:rPr>
                    <w:t xml:space="preserve"> </w:t>
                  </w:r>
                  <w:proofErr w:type="spellStart"/>
                  <w:r w:rsidRPr="009337F6">
                    <w:rPr>
                      <w:rFonts w:ascii="Times New Roman" w:eastAsia="Calibri" w:hAnsi="Times New Roman" w:cs="Times New Roman"/>
                      <w:sz w:val="20"/>
                      <w:szCs w:val="20"/>
                    </w:rPr>
                    <w:t>of</w:t>
                  </w:r>
                  <w:proofErr w:type="spellEnd"/>
                  <w:r w:rsidRPr="009337F6">
                    <w:rPr>
                      <w:rFonts w:ascii="Times New Roman" w:eastAsia="Calibri" w:hAnsi="Times New Roman" w:cs="Times New Roman"/>
                      <w:sz w:val="20"/>
                      <w:szCs w:val="20"/>
                    </w:rPr>
                    <w:t xml:space="preserve"> </w:t>
                  </w:r>
                  <w:proofErr w:type="spellStart"/>
                  <w:r w:rsidRPr="009337F6">
                    <w:rPr>
                      <w:rFonts w:ascii="Times New Roman" w:eastAsia="Calibri" w:hAnsi="Times New Roman" w:cs="Times New Roman"/>
                      <w:sz w:val="20"/>
                      <w:szCs w:val="20"/>
                    </w:rPr>
                    <w:t>persons</w:t>
                  </w:r>
                  <w:proofErr w:type="spellEnd"/>
                </w:p>
              </w:tc>
              <w:tc>
                <w:tcPr>
                  <w:tcW w:w="962" w:type="pct"/>
                  <w:shd w:val="clear" w:color="auto" w:fill="F2F2F2"/>
                  <w:vAlign w:val="center"/>
                </w:tcPr>
                <w:p w14:paraId="7528B5B0" w14:textId="77777777" w:rsidR="009F20E4" w:rsidRPr="009F20E4" w:rsidRDefault="009F20E4" w:rsidP="009F20E4">
                  <w:pPr>
                    <w:spacing w:after="0"/>
                    <w:jc w:val="center"/>
                    <w:rPr>
                      <w:rFonts w:ascii="Times New Roman" w:eastAsia="Calibri" w:hAnsi="Times New Roman" w:cs="Times New Roman"/>
                      <w:sz w:val="20"/>
                      <w:szCs w:val="20"/>
                    </w:rPr>
                  </w:pPr>
                  <w:proofErr w:type="spellStart"/>
                  <w:r w:rsidRPr="009F20E4">
                    <w:rPr>
                      <w:rFonts w:ascii="Times New Roman" w:eastAsia="Calibri" w:hAnsi="Times New Roman" w:cs="Times New Roman"/>
                      <w:sz w:val="20"/>
                      <w:szCs w:val="20"/>
                    </w:rPr>
                    <w:t>License</w:t>
                  </w:r>
                  <w:proofErr w:type="spellEnd"/>
                  <w:r w:rsidRPr="009F20E4">
                    <w:rPr>
                      <w:rFonts w:ascii="Times New Roman" w:eastAsia="Calibri" w:hAnsi="Times New Roman" w:cs="Times New Roman"/>
                      <w:sz w:val="20"/>
                      <w:szCs w:val="20"/>
                    </w:rPr>
                    <w:t xml:space="preserve"> </w:t>
                  </w:r>
                </w:p>
              </w:tc>
              <w:tc>
                <w:tcPr>
                  <w:tcW w:w="1191" w:type="pct"/>
                  <w:shd w:val="clear" w:color="auto" w:fill="F2F2F2"/>
                  <w:vAlign w:val="center"/>
                </w:tcPr>
                <w:p w14:paraId="35CF276F" w14:textId="77777777" w:rsidR="009F20E4" w:rsidRPr="009F20E4" w:rsidRDefault="009F20E4" w:rsidP="009F20E4">
                  <w:pPr>
                    <w:spacing w:after="0"/>
                    <w:jc w:val="center"/>
                    <w:rPr>
                      <w:rFonts w:ascii="Times New Roman" w:eastAsia="Calibri" w:hAnsi="Times New Roman" w:cs="Times New Roman"/>
                      <w:sz w:val="20"/>
                      <w:szCs w:val="20"/>
                    </w:rPr>
                  </w:pPr>
                  <w:proofErr w:type="spellStart"/>
                  <w:r w:rsidRPr="009F20E4">
                    <w:rPr>
                      <w:rFonts w:ascii="Times New Roman" w:eastAsia="Calibri" w:hAnsi="Times New Roman" w:cs="Times New Roman"/>
                      <w:sz w:val="20"/>
                      <w:szCs w:val="20"/>
                    </w:rPr>
                    <w:t>Basis</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for</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employment</w:t>
                  </w:r>
                  <w:proofErr w:type="spellEnd"/>
                </w:p>
              </w:tc>
            </w:tr>
            <w:tr w:rsidR="009F20E4" w:rsidRPr="009F20E4" w14:paraId="21617F0E" w14:textId="77777777" w:rsidTr="00BE6E6A">
              <w:trPr>
                <w:trHeight w:val="1155"/>
              </w:trPr>
              <w:tc>
                <w:tcPr>
                  <w:tcW w:w="1083" w:type="pct"/>
                  <w:shd w:val="clear" w:color="auto" w:fill="auto"/>
                  <w:vAlign w:val="center"/>
                </w:tcPr>
                <w:p w14:paraId="1DE6C4D4" w14:textId="0A76C827" w:rsidR="009F20E4" w:rsidRPr="00C960AD" w:rsidRDefault="00C960AD" w:rsidP="009F20E4">
                  <w:pPr>
                    <w:spacing w:after="0"/>
                    <w:rPr>
                      <w:rFonts w:ascii="Times New Roman" w:eastAsia="Calibri" w:hAnsi="Times New Roman" w:cs="Times New Roman"/>
                      <w:sz w:val="20"/>
                      <w:szCs w:val="20"/>
                      <w:lang w:val="en-US"/>
                    </w:rPr>
                  </w:pPr>
                  <w:proofErr w:type="spellStart"/>
                  <w:r w:rsidRPr="00C960AD">
                    <w:rPr>
                      <w:rFonts w:ascii="Times New Roman" w:eastAsia="Calibri" w:hAnsi="Times New Roman" w:cs="Times New Roman"/>
                      <w:sz w:val="20"/>
                      <w:szCs w:val="20"/>
                    </w:rPr>
                    <w:t>Responsible</w:t>
                  </w:r>
                  <w:proofErr w:type="spellEnd"/>
                  <w:r w:rsidRPr="00C960AD">
                    <w:rPr>
                      <w:rFonts w:ascii="Times New Roman" w:eastAsia="Calibri" w:hAnsi="Times New Roman" w:cs="Times New Roman"/>
                      <w:sz w:val="20"/>
                      <w:szCs w:val="20"/>
                    </w:rPr>
                    <w:t xml:space="preserve"> </w:t>
                  </w:r>
                  <w:proofErr w:type="spellStart"/>
                  <w:r w:rsidRPr="00C960AD">
                    <w:rPr>
                      <w:rFonts w:ascii="Times New Roman" w:eastAsia="Calibri" w:hAnsi="Times New Roman" w:cs="Times New Roman"/>
                      <w:sz w:val="20"/>
                      <w:szCs w:val="20"/>
                    </w:rPr>
                    <w:t>contracting</w:t>
                  </w:r>
                  <w:proofErr w:type="spellEnd"/>
                  <w:r w:rsidRPr="00C960AD">
                    <w:rPr>
                      <w:rFonts w:ascii="Times New Roman" w:eastAsia="Calibri" w:hAnsi="Times New Roman" w:cs="Times New Roman"/>
                      <w:sz w:val="20"/>
                      <w:szCs w:val="20"/>
                    </w:rPr>
                    <w:t xml:space="preserve"> </w:t>
                  </w:r>
                  <w:proofErr w:type="spellStart"/>
                  <w:r w:rsidRPr="00C960AD">
                    <w:rPr>
                      <w:rFonts w:ascii="Times New Roman" w:eastAsia="Calibri" w:hAnsi="Times New Roman" w:cs="Times New Roman"/>
                      <w:sz w:val="20"/>
                      <w:szCs w:val="20"/>
                    </w:rPr>
                    <w:t>engineer</w:t>
                  </w:r>
                  <w:proofErr w:type="spellEnd"/>
                  <w:r w:rsidRPr="00C960AD">
                    <w:rPr>
                      <w:rFonts w:ascii="Times New Roman" w:eastAsia="Calibri" w:hAnsi="Times New Roman" w:cs="Times New Roman"/>
                      <w:sz w:val="20"/>
                      <w:szCs w:val="20"/>
                    </w:rPr>
                    <w:t xml:space="preserve"> </w:t>
                  </w:r>
                  <w:r w:rsidRPr="00C960AD">
                    <w:rPr>
                      <w:rFonts w:ascii="Times New Roman" w:eastAsia="Calibri" w:hAnsi="Times New Roman" w:cs="Times New Roman"/>
                      <w:color w:val="000000"/>
                      <w:sz w:val="20"/>
                      <w:szCs w:val="20"/>
                      <w:lang w:val="en-US"/>
                    </w:rPr>
                    <w:t xml:space="preserve">– </w:t>
                  </w:r>
                  <w:proofErr w:type="spellStart"/>
                  <w:r w:rsidRPr="00C960AD">
                    <w:rPr>
                      <w:rFonts w:ascii="Times New Roman" w:eastAsia="Calibri" w:hAnsi="Times New Roman" w:cs="Times New Roman"/>
                      <w:color w:val="000000"/>
                      <w:sz w:val="20"/>
                      <w:szCs w:val="20"/>
                    </w:rPr>
                    <w:t>Contractor’s</w:t>
                  </w:r>
                  <w:proofErr w:type="spellEnd"/>
                  <w:r w:rsidRPr="00C960AD">
                    <w:rPr>
                      <w:rFonts w:ascii="Times New Roman" w:eastAsia="Calibri" w:hAnsi="Times New Roman" w:cs="Times New Roman"/>
                      <w:color w:val="000000"/>
                      <w:sz w:val="20"/>
                      <w:szCs w:val="20"/>
                    </w:rPr>
                    <w:t xml:space="preserve"> </w:t>
                  </w:r>
                  <w:proofErr w:type="spellStart"/>
                  <w:r w:rsidRPr="00C960AD">
                    <w:rPr>
                      <w:rFonts w:ascii="Times New Roman" w:eastAsia="Calibri" w:hAnsi="Times New Roman" w:cs="Times New Roman"/>
                      <w:color w:val="000000"/>
                      <w:sz w:val="20"/>
                      <w:szCs w:val="20"/>
                    </w:rPr>
                    <w:t>representative</w:t>
                  </w:r>
                  <w:proofErr w:type="spellEnd"/>
                </w:p>
              </w:tc>
              <w:tc>
                <w:tcPr>
                  <w:tcW w:w="1034" w:type="pct"/>
                  <w:shd w:val="clear" w:color="auto" w:fill="auto"/>
                  <w:vAlign w:val="center"/>
                </w:tcPr>
                <w:p w14:paraId="3919BC3A" w14:textId="77777777" w:rsidR="009F20E4" w:rsidRPr="009F20E4" w:rsidRDefault="009F20E4" w:rsidP="009F20E4">
                  <w:pPr>
                    <w:spacing w:after="0"/>
                    <w:rPr>
                      <w:rFonts w:ascii="Times New Roman" w:eastAsia="Calibri" w:hAnsi="Times New Roman" w:cs="Times New Roman"/>
                      <w:sz w:val="20"/>
                      <w:szCs w:val="20"/>
                    </w:rPr>
                  </w:pPr>
                  <w:proofErr w:type="spellStart"/>
                  <w:r w:rsidRPr="009F20E4">
                    <w:rPr>
                      <w:rFonts w:ascii="Times New Roman" w:eastAsia="Calibri" w:hAnsi="Times New Roman" w:cs="Times New Roman"/>
                      <w:color w:val="000000"/>
                      <w:sz w:val="20"/>
                      <w:szCs w:val="20"/>
                    </w:rPr>
                    <w:t>BSc</w:t>
                  </w:r>
                  <w:proofErr w:type="spellEnd"/>
                  <w:r w:rsidRPr="009F20E4">
                    <w:rPr>
                      <w:rFonts w:ascii="Times New Roman" w:eastAsia="Calibri" w:hAnsi="Times New Roman" w:cs="Times New Roman"/>
                      <w:color w:val="000000"/>
                      <w:sz w:val="20"/>
                      <w:szCs w:val="20"/>
                    </w:rPr>
                    <w:t xml:space="preserve"> </w:t>
                  </w:r>
                  <w:proofErr w:type="spellStart"/>
                  <w:r w:rsidRPr="009F20E4">
                    <w:rPr>
                      <w:rFonts w:ascii="Times New Roman" w:eastAsia="Calibri" w:hAnsi="Times New Roman" w:cs="Times New Roman"/>
                      <w:color w:val="000000"/>
                      <w:sz w:val="20"/>
                      <w:szCs w:val="20"/>
                    </w:rPr>
                    <w:t>in</w:t>
                  </w:r>
                  <w:proofErr w:type="spellEnd"/>
                  <w:r w:rsidRPr="009F20E4">
                    <w:rPr>
                      <w:rFonts w:ascii="Times New Roman" w:eastAsia="Calibri" w:hAnsi="Times New Roman" w:cs="Times New Roman"/>
                      <w:color w:val="000000"/>
                      <w:sz w:val="20"/>
                      <w:szCs w:val="20"/>
                    </w:rPr>
                    <w:t xml:space="preserve"> </w:t>
                  </w:r>
                  <w:proofErr w:type="spellStart"/>
                  <w:r w:rsidRPr="009F20E4">
                    <w:rPr>
                      <w:rFonts w:ascii="Times New Roman" w:eastAsia="Calibri" w:hAnsi="Times New Roman" w:cs="Times New Roman"/>
                      <w:color w:val="000000"/>
                      <w:sz w:val="20"/>
                      <w:szCs w:val="20"/>
                    </w:rPr>
                    <w:t>Civil</w:t>
                  </w:r>
                  <w:proofErr w:type="spellEnd"/>
                  <w:r w:rsidRPr="009F20E4">
                    <w:rPr>
                      <w:rFonts w:ascii="Times New Roman" w:eastAsia="Calibri" w:hAnsi="Times New Roman" w:cs="Times New Roman"/>
                      <w:color w:val="000000"/>
                      <w:sz w:val="20"/>
                      <w:szCs w:val="20"/>
                    </w:rPr>
                    <w:t xml:space="preserve"> </w:t>
                  </w:r>
                  <w:proofErr w:type="spellStart"/>
                  <w:r w:rsidRPr="009F20E4">
                    <w:rPr>
                      <w:rFonts w:ascii="Times New Roman" w:eastAsia="Calibri" w:hAnsi="Times New Roman" w:cs="Times New Roman"/>
                      <w:color w:val="000000"/>
                      <w:sz w:val="20"/>
                      <w:szCs w:val="20"/>
                    </w:rPr>
                    <w:t>Engineering</w:t>
                  </w:r>
                  <w:proofErr w:type="spellEnd"/>
                  <w:r w:rsidRPr="009F20E4">
                    <w:rPr>
                      <w:rFonts w:ascii="Times New Roman" w:eastAsia="Calibri" w:hAnsi="Times New Roman" w:cs="Times New Roman"/>
                      <w:color w:val="000000"/>
                      <w:sz w:val="20"/>
                      <w:szCs w:val="20"/>
                    </w:rPr>
                    <w:t xml:space="preserve"> </w:t>
                  </w:r>
                  <w:proofErr w:type="spellStart"/>
                  <w:r w:rsidRPr="009F20E4">
                    <w:rPr>
                      <w:rFonts w:ascii="Times New Roman" w:eastAsia="Calibri" w:hAnsi="Times New Roman" w:cs="Times New Roman"/>
                      <w:color w:val="000000"/>
                      <w:sz w:val="20"/>
                      <w:szCs w:val="20"/>
                    </w:rPr>
                    <w:t>or</w:t>
                  </w:r>
                  <w:proofErr w:type="spellEnd"/>
                  <w:r w:rsidRPr="009F20E4">
                    <w:rPr>
                      <w:rFonts w:ascii="Times New Roman" w:eastAsia="Calibri" w:hAnsi="Times New Roman" w:cs="Times New Roman"/>
                      <w:color w:val="000000"/>
                      <w:sz w:val="20"/>
                      <w:szCs w:val="20"/>
                    </w:rPr>
                    <w:t xml:space="preserve"> </w:t>
                  </w:r>
                  <w:proofErr w:type="spellStart"/>
                  <w:r w:rsidRPr="009F20E4">
                    <w:rPr>
                      <w:rFonts w:ascii="Times New Roman" w:eastAsia="Calibri" w:hAnsi="Times New Roman" w:cs="Times New Roman"/>
                      <w:color w:val="000000"/>
                      <w:sz w:val="20"/>
                      <w:szCs w:val="20"/>
                    </w:rPr>
                    <w:t>Architecture</w:t>
                  </w:r>
                  <w:proofErr w:type="spellEnd"/>
                </w:p>
              </w:tc>
              <w:tc>
                <w:tcPr>
                  <w:tcW w:w="730" w:type="pct"/>
                  <w:shd w:val="clear" w:color="auto" w:fill="auto"/>
                  <w:vAlign w:val="center"/>
                </w:tcPr>
                <w:p w14:paraId="2B56D44A" w14:textId="6163ED5D" w:rsidR="009F20E4" w:rsidRPr="009337F6" w:rsidRDefault="009F20E4" w:rsidP="009F20E4">
                  <w:pPr>
                    <w:spacing w:after="0"/>
                    <w:jc w:val="center"/>
                    <w:rPr>
                      <w:rFonts w:ascii="Times New Roman" w:eastAsia="Calibri" w:hAnsi="Times New Roman" w:cs="Times New Roman"/>
                      <w:sz w:val="20"/>
                      <w:szCs w:val="20"/>
                      <w:lang w:val="en-US"/>
                    </w:rPr>
                  </w:pPr>
                  <w:r w:rsidRPr="009337F6">
                    <w:rPr>
                      <w:rFonts w:ascii="Times New Roman" w:eastAsia="Calibri" w:hAnsi="Times New Roman" w:cs="Times New Roman"/>
                      <w:sz w:val="20"/>
                      <w:szCs w:val="20"/>
                      <w:lang w:val="en-US"/>
                    </w:rPr>
                    <w:t>2</w:t>
                  </w:r>
                  <w:r w:rsidR="009337F6" w:rsidRPr="009337F6">
                    <w:rPr>
                      <w:rFonts w:ascii="Times New Roman" w:eastAsia="Calibri" w:hAnsi="Times New Roman" w:cs="Times New Roman"/>
                      <w:sz w:val="20"/>
                      <w:szCs w:val="20"/>
                      <w:lang w:val="en-US"/>
                    </w:rPr>
                    <w:t xml:space="preserve"> </w:t>
                  </w:r>
                  <w:r w:rsidR="009337F6" w:rsidRPr="009337F6">
                    <w:rPr>
                      <w:rFonts w:ascii="Times New Roman" w:eastAsia="Calibri" w:hAnsi="Times New Roman" w:cs="Times New Roman"/>
                      <w:sz w:val="20"/>
                      <w:lang w:val="en-US"/>
                    </w:rPr>
                    <w:t>(one person per location)</w:t>
                  </w:r>
                </w:p>
              </w:tc>
              <w:tc>
                <w:tcPr>
                  <w:tcW w:w="962" w:type="pct"/>
                  <w:shd w:val="clear" w:color="auto" w:fill="auto"/>
                  <w:vAlign w:val="center"/>
                </w:tcPr>
                <w:p w14:paraId="3D1ADED8" w14:textId="7CA87850" w:rsidR="009F20E4" w:rsidRPr="009F20E4" w:rsidRDefault="009F20E4" w:rsidP="00C960AD">
                  <w:pPr>
                    <w:spacing w:after="0"/>
                    <w:jc w:val="center"/>
                    <w:rPr>
                      <w:rFonts w:ascii="Times New Roman" w:eastAsia="Calibri" w:hAnsi="Times New Roman" w:cs="Times New Roman"/>
                      <w:sz w:val="20"/>
                      <w:szCs w:val="20"/>
                    </w:rPr>
                  </w:pPr>
                  <w:r w:rsidRPr="009F20E4">
                    <w:rPr>
                      <w:rFonts w:ascii="Times New Roman" w:eastAsia="Calibri" w:hAnsi="Times New Roman" w:cs="Times New Roman"/>
                      <w:sz w:val="20"/>
                      <w:szCs w:val="20"/>
                    </w:rPr>
                    <w:t xml:space="preserve">410 </w:t>
                  </w:r>
                  <w:proofErr w:type="spellStart"/>
                  <w:r w:rsidRPr="009F20E4">
                    <w:rPr>
                      <w:rFonts w:ascii="Times New Roman" w:eastAsia="Calibri" w:hAnsi="Times New Roman" w:cs="Times New Roman"/>
                      <w:sz w:val="20"/>
                      <w:szCs w:val="20"/>
                    </w:rPr>
                    <w:t>or</w:t>
                  </w:r>
                  <w:proofErr w:type="spellEnd"/>
                  <w:r w:rsidRPr="009F20E4">
                    <w:rPr>
                      <w:rFonts w:ascii="Times New Roman" w:eastAsia="Calibri" w:hAnsi="Times New Roman" w:cs="Times New Roman"/>
                      <w:sz w:val="20"/>
                      <w:szCs w:val="20"/>
                    </w:rPr>
                    <w:t xml:space="preserve"> 411 </w:t>
                  </w:r>
                  <w:proofErr w:type="spellStart"/>
                  <w:r w:rsidRPr="009F20E4">
                    <w:rPr>
                      <w:rFonts w:ascii="Times New Roman" w:eastAsia="Calibri" w:hAnsi="Times New Roman" w:cs="Times New Roman"/>
                      <w:sz w:val="20"/>
                      <w:szCs w:val="20"/>
                    </w:rPr>
                    <w:t>or</w:t>
                  </w:r>
                  <w:proofErr w:type="spellEnd"/>
                  <w:r w:rsidRPr="009F20E4">
                    <w:rPr>
                      <w:rFonts w:ascii="Times New Roman" w:eastAsia="Calibri" w:hAnsi="Times New Roman" w:cs="Times New Roman"/>
                      <w:sz w:val="20"/>
                      <w:szCs w:val="20"/>
                    </w:rPr>
                    <w:t xml:space="preserve"> 400 </w:t>
                  </w:r>
                  <w:proofErr w:type="spellStart"/>
                  <w:r w:rsidRPr="009F20E4">
                    <w:rPr>
                      <w:rFonts w:ascii="Times New Roman" w:eastAsia="Calibri" w:hAnsi="Times New Roman" w:cs="Times New Roman"/>
                      <w:sz w:val="20"/>
                      <w:szCs w:val="20"/>
                    </w:rPr>
                    <w:t>or</w:t>
                  </w:r>
                  <w:proofErr w:type="spellEnd"/>
                  <w:r w:rsidRPr="009F20E4">
                    <w:rPr>
                      <w:rFonts w:ascii="Times New Roman" w:eastAsia="Calibri" w:hAnsi="Times New Roman" w:cs="Times New Roman"/>
                      <w:sz w:val="20"/>
                      <w:szCs w:val="20"/>
                    </w:rPr>
                    <w:t xml:space="preserve"> 401</w:t>
                  </w:r>
                </w:p>
              </w:tc>
              <w:tc>
                <w:tcPr>
                  <w:tcW w:w="1191" w:type="pct"/>
                  <w:shd w:val="clear" w:color="auto" w:fill="auto"/>
                  <w:vAlign w:val="center"/>
                </w:tcPr>
                <w:p w14:paraId="4AE3D4A4" w14:textId="77777777" w:rsidR="009F20E4" w:rsidRPr="009F20E4" w:rsidRDefault="009F20E4" w:rsidP="009F20E4">
                  <w:pPr>
                    <w:spacing w:after="0"/>
                    <w:jc w:val="center"/>
                    <w:rPr>
                      <w:rFonts w:ascii="Times New Roman" w:eastAsia="Calibri" w:hAnsi="Times New Roman" w:cs="Times New Roman"/>
                      <w:sz w:val="20"/>
                      <w:szCs w:val="20"/>
                    </w:rPr>
                  </w:pPr>
                  <w:proofErr w:type="spellStart"/>
                  <w:r w:rsidRPr="009F20E4">
                    <w:rPr>
                      <w:rFonts w:ascii="Times New Roman" w:hAnsi="Times New Roman" w:cs="Times New Roman"/>
                      <w:sz w:val="20"/>
                      <w:szCs w:val="20"/>
                    </w:rPr>
                    <w:t>Employed</w:t>
                  </w:r>
                  <w:proofErr w:type="spellEnd"/>
                </w:p>
              </w:tc>
            </w:tr>
            <w:tr w:rsidR="009F20E4" w:rsidRPr="009F20E4" w14:paraId="4BD887AD" w14:textId="77777777" w:rsidTr="00BE6E6A">
              <w:trPr>
                <w:trHeight w:val="845"/>
              </w:trPr>
              <w:tc>
                <w:tcPr>
                  <w:tcW w:w="1083" w:type="pct"/>
                  <w:shd w:val="clear" w:color="auto" w:fill="auto"/>
                  <w:vAlign w:val="center"/>
                </w:tcPr>
                <w:p w14:paraId="34541002" w14:textId="124466A3" w:rsidR="009F20E4" w:rsidRPr="009F20E4" w:rsidRDefault="00C960AD" w:rsidP="009F20E4">
                  <w:pPr>
                    <w:spacing w:after="0"/>
                    <w:rPr>
                      <w:rFonts w:ascii="Times New Roman" w:eastAsia="Calibri" w:hAnsi="Times New Roman" w:cs="Times New Roman"/>
                      <w:sz w:val="20"/>
                      <w:szCs w:val="20"/>
                    </w:rPr>
                  </w:pPr>
                  <w:proofErr w:type="spellStart"/>
                  <w:r w:rsidRPr="009F20E4">
                    <w:rPr>
                      <w:rFonts w:ascii="Times New Roman" w:eastAsia="Calibri" w:hAnsi="Times New Roman" w:cs="Times New Roman"/>
                      <w:sz w:val="20"/>
                      <w:szCs w:val="20"/>
                    </w:rPr>
                    <w:t>Responsible</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contracting</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engineer</w:t>
                  </w:r>
                  <w:proofErr w:type="spellEnd"/>
                </w:p>
              </w:tc>
              <w:tc>
                <w:tcPr>
                  <w:tcW w:w="1034" w:type="pct"/>
                  <w:shd w:val="clear" w:color="auto" w:fill="auto"/>
                  <w:vAlign w:val="center"/>
                </w:tcPr>
                <w:p w14:paraId="17F6E0FD" w14:textId="77777777" w:rsidR="009F20E4" w:rsidRPr="009F20E4" w:rsidRDefault="009F20E4" w:rsidP="009F20E4">
                  <w:pPr>
                    <w:spacing w:after="0"/>
                    <w:rPr>
                      <w:rFonts w:ascii="Times New Roman" w:eastAsia="Calibri" w:hAnsi="Times New Roman" w:cs="Times New Roman"/>
                      <w:sz w:val="20"/>
                      <w:szCs w:val="20"/>
                    </w:rPr>
                  </w:pPr>
                  <w:proofErr w:type="spellStart"/>
                  <w:r w:rsidRPr="009F20E4">
                    <w:rPr>
                      <w:rFonts w:ascii="Times New Roman" w:eastAsia="Calibri" w:hAnsi="Times New Roman" w:cs="Times New Roman"/>
                      <w:color w:val="000000"/>
                      <w:sz w:val="20"/>
                      <w:szCs w:val="20"/>
                    </w:rPr>
                    <w:t>BSc</w:t>
                  </w:r>
                  <w:proofErr w:type="spellEnd"/>
                  <w:r w:rsidRPr="009F20E4">
                    <w:rPr>
                      <w:rFonts w:ascii="Times New Roman" w:eastAsia="Calibri" w:hAnsi="Times New Roman" w:cs="Times New Roman"/>
                      <w:color w:val="000000"/>
                      <w:sz w:val="20"/>
                      <w:szCs w:val="20"/>
                    </w:rPr>
                    <w:t xml:space="preserve"> </w:t>
                  </w:r>
                  <w:proofErr w:type="spellStart"/>
                  <w:r w:rsidRPr="009F20E4">
                    <w:rPr>
                      <w:rFonts w:ascii="Times New Roman" w:eastAsia="Calibri" w:hAnsi="Times New Roman" w:cs="Times New Roman"/>
                      <w:color w:val="000000"/>
                      <w:sz w:val="20"/>
                      <w:szCs w:val="20"/>
                    </w:rPr>
                    <w:t>in</w:t>
                  </w:r>
                  <w:proofErr w:type="spellEnd"/>
                  <w:r w:rsidRPr="009F20E4">
                    <w:rPr>
                      <w:rFonts w:ascii="Times New Roman" w:eastAsia="Calibri" w:hAnsi="Times New Roman" w:cs="Times New Roman"/>
                      <w:color w:val="000000"/>
                      <w:sz w:val="20"/>
                      <w:szCs w:val="20"/>
                    </w:rPr>
                    <w:t xml:space="preserve"> </w:t>
                  </w:r>
                  <w:proofErr w:type="spellStart"/>
                  <w:r w:rsidRPr="009F20E4">
                    <w:rPr>
                      <w:rFonts w:ascii="Times New Roman" w:eastAsia="Calibri" w:hAnsi="Times New Roman" w:cs="Times New Roman"/>
                      <w:color w:val="000000"/>
                      <w:sz w:val="20"/>
                      <w:szCs w:val="20"/>
                    </w:rPr>
                    <w:t>Civil</w:t>
                  </w:r>
                  <w:proofErr w:type="spellEnd"/>
                  <w:r w:rsidRPr="009F20E4">
                    <w:rPr>
                      <w:rFonts w:ascii="Times New Roman" w:eastAsia="Calibri" w:hAnsi="Times New Roman" w:cs="Times New Roman"/>
                      <w:color w:val="000000"/>
                      <w:sz w:val="20"/>
                      <w:szCs w:val="20"/>
                    </w:rPr>
                    <w:t xml:space="preserve"> </w:t>
                  </w:r>
                  <w:proofErr w:type="spellStart"/>
                  <w:r w:rsidRPr="009F20E4">
                    <w:rPr>
                      <w:rFonts w:ascii="Times New Roman" w:eastAsia="Calibri" w:hAnsi="Times New Roman" w:cs="Times New Roman"/>
                      <w:color w:val="000000"/>
                      <w:sz w:val="20"/>
                      <w:szCs w:val="20"/>
                    </w:rPr>
                    <w:t>Engineering</w:t>
                  </w:r>
                  <w:proofErr w:type="spellEnd"/>
                  <w:r w:rsidRPr="009F20E4">
                    <w:rPr>
                      <w:rFonts w:ascii="Times New Roman" w:eastAsia="Calibri" w:hAnsi="Times New Roman" w:cs="Times New Roman"/>
                      <w:color w:val="000000"/>
                      <w:sz w:val="20"/>
                      <w:szCs w:val="20"/>
                    </w:rPr>
                    <w:t xml:space="preserve"> </w:t>
                  </w:r>
                </w:p>
              </w:tc>
              <w:tc>
                <w:tcPr>
                  <w:tcW w:w="730" w:type="pct"/>
                  <w:shd w:val="clear" w:color="auto" w:fill="auto"/>
                  <w:vAlign w:val="center"/>
                </w:tcPr>
                <w:p w14:paraId="75220F97" w14:textId="5790E5FE" w:rsidR="009F20E4" w:rsidRPr="009F20E4" w:rsidRDefault="009F20E4" w:rsidP="009F20E4">
                  <w:pPr>
                    <w:spacing w:after="0"/>
                    <w:jc w:val="center"/>
                    <w:rPr>
                      <w:rFonts w:ascii="Times New Roman" w:eastAsia="Calibri" w:hAnsi="Times New Roman" w:cs="Times New Roman"/>
                      <w:sz w:val="20"/>
                      <w:szCs w:val="20"/>
                      <w:lang w:val="en-US"/>
                    </w:rPr>
                  </w:pPr>
                  <w:r w:rsidRPr="009F20E4">
                    <w:rPr>
                      <w:rFonts w:ascii="Times New Roman" w:eastAsia="Calibri" w:hAnsi="Times New Roman" w:cs="Times New Roman"/>
                      <w:sz w:val="20"/>
                      <w:szCs w:val="20"/>
                      <w:lang w:val="en-US"/>
                    </w:rPr>
                    <w:t>1</w:t>
                  </w:r>
                  <w:r w:rsidR="00321E2E">
                    <w:rPr>
                      <w:rFonts w:ascii="Times New Roman" w:eastAsia="Calibri" w:hAnsi="Times New Roman" w:cs="Times New Roman"/>
                      <w:sz w:val="20"/>
                      <w:szCs w:val="20"/>
                      <w:lang w:val="en-US"/>
                    </w:rPr>
                    <w:t xml:space="preserve"> (for location Novi Sad)</w:t>
                  </w:r>
                </w:p>
              </w:tc>
              <w:tc>
                <w:tcPr>
                  <w:tcW w:w="962" w:type="pct"/>
                  <w:shd w:val="clear" w:color="auto" w:fill="auto"/>
                  <w:vAlign w:val="center"/>
                </w:tcPr>
                <w:p w14:paraId="36BD1136" w14:textId="05063773" w:rsidR="009F20E4" w:rsidRPr="009F20E4" w:rsidRDefault="009F20E4" w:rsidP="00C960AD">
                  <w:pPr>
                    <w:spacing w:after="0"/>
                    <w:jc w:val="center"/>
                    <w:rPr>
                      <w:rFonts w:ascii="Times New Roman" w:eastAsia="Calibri" w:hAnsi="Times New Roman" w:cs="Times New Roman"/>
                      <w:sz w:val="20"/>
                      <w:szCs w:val="20"/>
                    </w:rPr>
                  </w:pPr>
                  <w:r w:rsidRPr="009F20E4">
                    <w:rPr>
                      <w:rFonts w:ascii="Times New Roman" w:eastAsia="Calibri" w:hAnsi="Times New Roman" w:cs="Times New Roman"/>
                      <w:sz w:val="20"/>
                      <w:szCs w:val="20"/>
                    </w:rPr>
                    <w:t xml:space="preserve">410 </w:t>
                  </w:r>
                  <w:proofErr w:type="spellStart"/>
                  <w:r w:rsidRPr="009F20E4">
                    <w:rPr>
                      <w:rFonts w:ascii="Times New Roman" w:eastAsia="Calibri" w:hAnsi="Times New Roman" w:cs="Times New Roman"/>
                      <w:sz w:val="20"/>
                      <w:szCs w:val="20"/>
                    </w:rPr>
                    <w:t>or</w:t>
                  </w:r>
                  <w:proofErr w:type="spellEnd"/>
                  <w:r w:rsidRPr="009F20E4">
                    <w:rPr>
                      <w:rFonts w:ascii="Times New Roman" w:eastAsia="Calibri" w:hAnsi="Times New Roman" w:cs="Times New Roman"/>
                      <w:sz w:val="20"/>
                      <w:szCs w:val="20"/>
                    </w:rPr>
                    <w:t xml:space="preserve"> 411</w:t>
                  </w:r>
                </w:p>
              </w:tc>
              <w:tc>
                <w:tcPr>
                  <w:tcW w:w="1191" w:type="pct"/>
                  <w:shd w:val="clear" w:color="auto" w:fill="auto"/>
                  <w:vAlign w:val="center"/>
                </w:tcPr>
                <w:p w14:paraId="0E4A1A1D" w14:textId="77777777" w:rsidR="009F20E4" w:rsidRPr="009F20E4" w:rsidRDefault="009F20E4" w:rsidP="009F20E4">
                  <w:pPr>
                    <w:spacing w:after="0"/>
                    <w:jc w:val="center"/>
                    <w:rPr>
                      <w:rFonts w:ascii="Times New Roman" w:eastAsia="Calibri" w:hAnsi="Times New Roman" w:cs="Times New Roman"/>
                      <w:sz w:val="20"/>
                      <w:szCs w:val="20"/>
                    </w:rPr>
                  </w:pPr>
                  <w:proofErr w:type="spellStart"/>
                  <w:r w:rsidRPr="009F20E4">
                    <w:rPr>
                      <w:rFonts w:ascii="Times New Roman" w:hAnsi="Times New Roman" w:cs="Times New Roman"/>
                      <w:sz w:val="20"/>
                      <w:szCs w:val="20"/>
                    </w:rPr>
                    <w:t>Engaged</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on</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any</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legal</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basis</w:t>
                  </w:r>
                  <w:proofErr w:type="spellEnd"/>
                </w:p>
              </w:tc>
            </w:tr>
            <w:tr w:rsidR="009F20E4" w:rsidRPr="009F20E4" w14:paraId="5B5D9A76" w14:textId="77777777" w:rsidTr="00BE6E6A">
              <w:trPr>
                <w:trHeight w:val="1113"/>
              </w:trPr>
              <w:tc>
                <w:tcPr>
                  <w:tcW w:w="1083" w:type="pct"/>
                  <w:vAlign w:val="center"/>
                </w:tcPr>
                <w:p w14:paraId="4CD9DA14" w14:textId="6CECFC62" w:rsidR="009F20E4" w:rsidRPr="009F20E4" w:rsidRDefault="00C960AD" w:rsidP="009F20E4">
                  <w:pPr>
                    <w:spacing w:after="0"/>
                    <w:rPr>
                      <w:rFonts w:ascii="Times New Roman" w:eastAsia="Calibri" w:hAnsi="Times New Roman" w:cs="Times New Roman"/>
                      <w:sz w:val="20"/>
                      <w:szCs w:val="20"/>
                      <w:lang w:val="en-US"/>
                    </w:rPr>
                  </w:pPr>
                  <w:proofErr w:type="spellStart"/>
                  <w:r w:rsidRPr="009F20E4">
                    <w:rPr>
                      <w:rFonts w:ascii="Times New Roman" w:eastAsia="Calibri" w:hAnsi="Times New Roman" w:cs="Times New Roman"/>
                      <w:sz w:val="20"/>
                      <w:szCs w:val="20"/>
                    </w:rPr>
                    <w:t>Responsible</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contracting</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engineer</w:t>
                  </w:r>
                  <w:proofErr w:type="spellEnd"/>
                </w:p>
              </w:tc>
              <w:tc>
                <w:tcPr>
                  <w:tcW w:w="1034" w:type="pct"/>
                  <w:vAlign w:val="center"/>
                </w:tcPr>
                <w:p w14:paraId="5C901020" w14:textId="77777777" w:rsidR="009F20E4" w:rsidRPr="009F20E4" w:rsidRDefault="009F20E4" w:rsidP="009F20E4">
                  <w:pPr>
                    <w:spacing w:after="0"/>
                    <w:rPr>
                      <w:rFonts w:ascii="Times New Roman" w:eastAsia="Calibri" w:hAnsi="Times New Roman" w:cs="Times New Roman"/>
                      <w:sz w:val="20"/>
                      <w:szCs w:val="20"/>
                    </w:rPr>
                  </w:pPr>
                  <w:proofErr w:type="spellStart"/>
                  <w:r w:rsidRPr="009F20E4">
                    <w:rPr>
                      <w:rFonts w:ascii="Times New Roman" w:eastAsia="Calibri" w:hAnsi="Times New Roman" w:cs="Times New Roman"/>
                      <w:sz w:val="20"/>
                      <w:szCs w:val="20"/>
                    </w:rPr>
                    <w:t>BSc</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in</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Electrical</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Engineering</w:t>
                  </w:r>
                  <w:proofErr w:type="spellEnd"/>
                </w:p>
              </w:tc>
              <w:tc>
                <w:tcPr>
                  <w:tcW w:w="730" w:type="pct"/>
                  <w:vAlign w:val="center"/>
                </w:tcPr>
                <w:p w14:paraId="1DC773D1" w14:textId="6CD42693" w:rsidR="009F20E4" w:rsidRPr="009F20E4" w:rsidRDefault="00A24781" w:rsidP="009F20E4">
                  <w:pPr>
                    <w:spacing w:after="0"/>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r w:rsidR="00321E2E">
                    <w:rPr>
                      <w:rFonts w:ascii="Times New Roman" w:eastAsia="Calibri" w:hAnsi="Times New Roman" w:cs="Times New Roman"/>
                      <w:sz w:val="20"/>
                      <w:szCs w:val="20"/>
                      <w:lang w:val="en-US"/>
                    </w:rPr>
                    <w:t xml:space="preserve"> (for both locations)</w:t>
                  </w:r>
                </w:p>
              </w:tc>
              <w:tc>
                <w:tcPr>
                  <w:tcW w:w="962" w:type="pct"/>
                  <w:vAlign w:val="center"/>
                </w:tcPr>
                <w:p w14:paraId="07B2EAC0" w14:textId="77777777" w:rsidR="009F20E4" w:rsidRPr="009F20E4" w:rsidRDefault="009F20E4" w:rsidP="00C960AD">
                  <w:pPr>
                    <w:spacing w:after="0"/>
                    <w:jc w:val="center"/>
                    <w:rPr>
                      <w:rFonts w:ascii="Times New Roman" w:eastAsia="Calibri" w:hAnsi="Times New Roman" w:cs="Times New Roman"/>
                      <w:sz w:val="20"/>
                      <w:szCs w:val="20"/>
                    </w:rPr>
                  </w:pPr>
                  <w:r w:rsidRPr="009F20E4">
                    <w:rPr>
                      <w:rFonts w:ascii="Times New Roman" w:eastAsia="Calibri" w:hAnsi="Times New Roman" w:cs="Times New Roman"/>
                      <w:sz w:val="20"/>
                      <w:szCs w:val="20"/>
                    </w:rPr>
                    <w:t>450</w:t>
                  </w:r>
                </w:p>
              </w:tc>
              <w:tc>
                <w:tcPr>
                  <w:tcW w:w="1191" w:type="pct"/>
                  <w:vAlign w:val="center"/>
                </w:tcPr>
                <w:p w14:paraId="75E488B6" w14:textId="77777777" w:rsidR="009F20E4" w:rsidRPr="009F20E4" w:rsidRDefault="009F20E4" w:rsidP="009F20E4">
                  <w:pPr>
                    <w:spacing w:after="0"/>
                    <w:jc w:val="center"/>
                    <w:rPr>
                      <w:rFonts w:ascii="Times New Roman" w:eastAsia="Calibri" w:hAnsi="Times New Roman" w:cs="Times New Roman"/>
                      <w:sz w:val="20"/>
                      <w:szCs w:val="20"/>
                    </w:rPr>
                  </w:pPr>
                  <w:proofErr w:type="spellStart"/>
                  <w:r w:rsidRPr="009F20E4">
                    <w:rPr>
                      <w:rFonts w:ascii="Times New Roman" w:hAnsi="Times New Roman" w:cs="Times New Roman"/>
                      <w:sz w:val="20"/>
                      <w:szCs w:val="20"/>
                    </w:rPr>
                    <w:t>Engaged</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on</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any</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legal</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basis</w:t>
                  </w:r>
                  <w:proofErr w:type="spellEnd"/>
                  <w:r w:rsidRPr="009F20E4">
                    <w:rPr>
                      <w:rFonts w:ascii="Times New Roman" w:hAnsi="Times New Roman" w:cs="Times New Roman"/>
                      <w:sz w:val="20"/>
                      <w:szCs w:val="20"/>
                    </w:rPr>
                    <w:t xml:space="preserve"> </w:t>
                  </w:r>
                </w:p>
              </w:tc>
            </w:tr>
            <w:tr w:rsidR="009F20E4" w:rsidRPr="009F20E4" w14:paraId="4F5A47D1" w14:textId="77777777" w:rsidTr="00BE6E6A">
              <w:trPr>
                <w:trHeight w:val="858"/>
              </w:trPr>
              <w:tc>
                <w:tcPr>
                  <w:tcW w:w="1083" w:type="pct"/>
                  <w:vAlign w:val="center"/>
                </w:tcPr>
                <w:p w14:paraId="3E6517F9" w14:textId="0CC008B6" w:rsidR="009F20E4" w:rsidRPr="009F20E4" w:rsidRDefault="00C960AD" w:rsidP="009F20E4">
                  <w:pPr>
                    <w:spacing w:after="0"/>
                    <w:rPr>
                      <w:rFonts w:ascii="Times New Roman" w:eastAsia="Calibri" w:hAnsi="Times New Roman" w:cs="Times New Roman"/>
                      <w:sz w:val="20"/>
                      <w:szCs w:val="20"/>
                      <w:lang w:val="en-US"/>
                    </w:rPr>
                  </w:pPr>
                  <w:proofErr w:type="spellStart"/>
                  <w:r w:rsidRPr="009F20E4">
                    <w:rPr>
                      <w:rFonts w:ascii="Times New Roman" w:eastAsia="Calibri" w:hAnsi="Times New Roman" w:cs="Times New Roman"/>
                      <w:sz w:val="20"/>
                      <w:szCs w:val="20"/>
                    </w:rPr>
                    <w:t>Responsible</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contracting</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engineer</w:t>
                  </w:r>
                  <w:proofErr w:type="spellEnd"/>
                </w:p>
              </w:tc>
              <w:tc>
                <w:tcPr>
                  <w:tcW w:w="1034" w:type="pct"/>
                  <w:vAlign w:val="center"/>
                </w:tcPr>
                <w:p w14:paraId="47558140" w14:textId="77777777" w:rsidR="009F20E4" w:rsidRPr="009F20E4" w:rsidRDefault="009F20E4" w:rsidP="009F20E4">
                  <w:pPr>
                    <w:spacing w:after="0"/>
                    <w:rPr>
                      <w:rFonts w:ascii="Times New Roman" w:eastAsia="Calibri" w:hAnsi="Times New Roman" w:cs="Times New Roman"/>
                      <w:sz w:val="20"/>
                      <w:szCs w:val="20"/>
                    </w:rPr>
                  </w:pPr>
                  <w:proofErr w:type="spellStart"/>
                  <w:r w:rsidRPr="009F20E4">
                    <w:rPr>
                      <w:rFonts w:ascii="Times New Roman" w:eastAsia="Calibri" w:hAnsi="Times New Roman" w:cs="Times New Roman"/>
                      <w:sz w:val="20"/>
                      <w:szCs w:val="20"/>
                    </w:rPr>
                    <w:t>BSc</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in</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Mechanical</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Engineering</w:t>
                  </w:r>
                  <w:proofErr w:type="spellEnd"/>
                </w:p>
              </w:tc>
              <w:tc>
                <w:tcPr>
                  <w:tcW w:w="730" w:type="pct"/>
                  <w:vAlign w:val="center"/>
                </w:tcPr>
                <w:p w14:paraId="364C4D44" w14:textId="5497F490" w:rsidR="009F20E4" w:rsidRPr="009F20E4" w:rsidRDefault="00A24781" w:rsidP="009F20E4">
                  <w:pPr>
                    <w:spacing w:after="0"/>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r w:rsidR="00321E2E">
                    <w:rPr>
                      <w:rFonts w:ascii="Times New Roman" w:eastAsia="Calibri" w:hAnsi="Times New Roman" w:cs="Times New Roman"/>
                      <w:sz w:val="20"/>
                      <w:szCs w:val="20"/>
                      <w:lang w:val="en-US"/>
                    </w:rPr>
                    <w:t xml:space="preserve"> </w:t>
                  </w:r>
                  <w:r w:rsidR="00321E2E" w:rsidRPr="00321E2E">
                    <w:rPr>
                      <w:rFonts w:ascii="Times New Roman" w:eastAsia="Calibri" w:hAnsi="Times New Roman" w:cs="Times New Roman"/>
                      <w:sz w:val="20"/>
                      <w:szCs w:val="20"/>
                      <w:lang w:val="en-US"/>
                    </w:rPr>
                    <w:t>(for both locations)</w:t>
                  </w:r>
                </w:p>
              </w:tc>
              <w:tc>
                <w:tcPr>
                  <w:tcW w:w="962" w:type="pct"/>
                  <w:vAlign w:val="center"/>
                </w:tcPr>
                <w:p w14:paraId="283CFB74" w14:textId="77777777" w:rsidR="009F20E4" w:rsidRPr="009F20E4" w:rsidRDefault="009F20E4" w:rsidP="00C960AD">
                  <w:pPr>
                    <w:spacing w:after="0"/>
                    <w:jc w:val="center"/>
                    <w:rPr>
                      <w:rFonts w:ascii="Times New Roman" w:eastAsia="Calibri" w:hAnsi="Times New Roman" w:cs="Times New Roman"/>
                      <w:sz w:val="20"/>
                      <w:szCs w:val="20"/>
                    </w:rPr>
                  </w:pPr>
                  <w:r w:rsidRPr="009F20E4">
                    <w:rPr>
                      <w:rFonts w:ascii="Times New Roman" w:eastAsia="Calibri" w:hAnsi="Times New Roman" w:cs="Times New Roman"/>
                      <w:sz w:val="20"/>
                      <w:szCs w:val="20"/>
                    </w:rPr>
                    <w:t>430</w:t>
                  </w:r>
                </w:p>
              </w:tc>
              <w:tc>
                <w:tcPr>
                  <w:tcW w:w="1191" w:type="pct"/>
                  <w:vAlign w:val="center"/>
                </w:tcPr>
                <w:p w14:paraId="46874B23" w14:textId="77777777" w:rsidR="009F20E4" w:rsidRPr="009F20E4" w:rsidRDefault="009F20E4" w:rsidP="009F20E4">
                  <w:pPr>
                    <w:spacing w:after="0"/>
                    <w:jc w:val="center"/>
                    <w:rPr>
                      <w:rFonts w:ascii="Times New Roman" w:hAnsi="Times New Roman" w:cs="Times New Roman"/>
                      <w:sz w:val="20"/>
                      <w:szCs w:val="20"/>
                    </w:rPr>
                  </w:pPr>
                  <w:proofErr w:type="spellStart"/>
                  <w:r w:rsidRPr="009F20E4">
                    <w:rPr>
                      <w:rFonts w:ascii="Times New Roman" w:hAnsi="Times New Roman" w:cs="Times New Roman"/>
                      <w:sz w:val="20"/>
                      <w:szCs w:val="20"/>
                    </w:rPr>
                    <w:t>Engaged</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on</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any</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legal</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basis</w:t>
                  </w:r>
                  <w:proofErr w:type="spellEnd"/>
                </w:p>
              </w:tc>
            </w:tr>
            <w:tr w:rsidR="009F20E4" w:rsidRPr="009F20E4" w14:paraId="5D162875" w14:textId="77777777" w:rsidTr="00BE6E6A">
              <w:trPr>
                <w:trHeight w:val="985"/>
              </w:trPr>
              <w:tc>
                <w:tcPr>
                  <w:tcW w:w="1083" w:type="pct"/>
                  <w:vAlign w:val="center"/>
                </w:tcPr>
                <w:p w14:paraId="55820F6A" w14:textId="2A332009" w:rsidR="009F20E4" w:rsidRPr="009F20E4" w:rsidRDefault="00C960AD" w:rsidP="009F20E4">
                  <w:pPr>
                    <w:spacing w:after="0"/>
                    <w:rPr>
                      <w:rFonts w:ascii="Times New Roman" w:eastAsia="Calibri" w:hAnsi="Times New Roman" w:cs="Times New Roman"/>
                      <w:sz w:val="20"/>
                      <w:szCs w:val="20"/>
                      <w:lang w:val="en-US"/>
                    </w:rPr>
                  </w:pPr>
                  <w:proofErr w:type="spellStart"/>
                  <w:r w:rsidRPr="009F20E4">
                    <w:rPr>
                      <w:rFonts w:ascii="Times New Roman" w:eastAsia="Calibri" w:hAnsi="Times New Roman" w:cs="Times New Roman"/>
                      <w:sz w:val="20"/>
                      <w:szCs w:val="20"/>
                    </w:rPr>
                    <w:t>Responsible</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contracting</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engineer</w:t>
                  </w:r>
                  <w:proofErr w:type="spellEnd"/>
                </w:p>
              </w:tc>
              <w:tc>
                <w:tcPr>
                  <w:tcW w:w="1034" w:type="pct"/>
                  <w:vAlign w:val="center"/>
                </w:tcPr>
                <w:p w14:paraId="79964453" w14:textId="77777777" w:rsidR="009F20E4" w:rsidRPr="009F20E4" w:rsidRDefault="009F20E4" w:rsidP="009F20E4">
                  <w:pPr>
                    <w:spacing w:after="0"/>
                    <w:rPr>
                      <w:rFonts w:ascii="Times New Roman" w:eastAsia="Calibri" w:hAnsi="Times New Roman" w:cs="Times New Roman"/>
                      <w:sz w:val="20"/>
                      <w:szCs w:val="20"/>
                    </w:rPr>
                  </w:pPr>
                  <w:proofErr w:type="spellStart"/>
                  <w:r w:rsidRPr="009F20E4">
                    <w:rPr>
                      <w:rFonts w:ascii="Times New Roman" w:eastAsia="Calibri" w:hAnsi="Times New Roman" w:cs="Times New Roman"/>
                      <w:sz w:val="20"/>
                      <w:szCs w:val="20"/>
                    </w:rPr>
                    <w:t>BSc</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in</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Mechanical</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Engineering</w:t>
                  </w:r>
                  <w:proofErr w:type="spellEnd"/>
                </w:p>
              </w:tc>
              <w:tc>
                <w:tcPr>
                  <w:tcW w:w="730" w:type="pct"/>
                  <w:vAlign w:val="center"/>
                </w:tcPr>
                <w:p w14:paraId="14C816CC" w14:textId="564C9FB6" w:rsidR="009F20E4" w:rsidRPr="00321E2E" w:rsidRDefault="009F20E4" w:rsidP="009F20E4">
                  <w:pPr>
                    <w:spacing w:after="0"/>
                    <w:jc w:val="center"/>
                    <w:rPr>
                      <w:rFonts w:ascii="Times New Roman" w:eastAsia="Calibri" w:hAnsi="Times New Roman" w:cs="Times New Roman"/>
                      <w:sz w:val="20"/>
                      <w:szCs w:val="20"/>
                      <w:lang w:val="sr-Latn-CS"/>
                    </w:rPr>
                  </w:pPr>
                  <w:r w:rsidRPr="009F20E4">
                    <w:rPr>
                      <w:rFonts w:ascii="Times New Roman" w:eastAsia="Calibri" w:hAnsi="Times New Roman" w:cs="Times New Roman"/>
                      <w:sz w:val="20"/>
                      <w:szCs w:val="20"/>
                    </w:rPr>
                    <w:t>1</w:t>
                  </w:r>
                  <w:r w:rsidR="00321E2E">
                    <w:rPr>
                      <w:rFonts w:ascii="Times New Roman" w:eastAsia="Calibri" w:hAnsi="Times New Roman" w:cs="Times New Roman"/>
                      <w:sz w:val="20"/>
                      <w:szCs w:val="20"/>
                      <w:lang w:val="sr-Latn-CS"/>
                    </w:rPr>
                    <w:t xml:space="preserve"> </w:t>
                  </w:r>
                  <w:r w:rsidR="00321E2E" w:rsidRPr="00321E2E">
                    <w:rPr>
                      <w:rFonts w:ascii="Times New Roman" w:eastAsia="Calibri" w:hAnsi="Times New Roman" w:cs="Times New Roman"/>
                      <w:sz w:val="20"/>
                      <w:szCs w:val="20"/>
                      <w:lang w:val="sr-Latn-CS"/>
                    </w:rPr>
                    <w:t>(</w:t>
                  </w:r>
                  <w:proofErr w:type="spellStart"/>
                  <w:r w:rsidR="00321E2E" w:rsidRPr="00321E2E">
                    <w:rPr>
                      <w:rFonts w:ascii="Times New Roman" w:eastAsia="Calibri" w:hAnsi="Times New Roman" w:cs="Times New Roman"/>
                      <w:sz w:val="20"/>
                      <w:szCs w:val="20"/>
                      <w:lang w:val="sr-Latn-CS"/>
                    </w:rPr>
                    <w:t>for</w:t>
                  </w:r>
                  <w:proofErr w:type="spellEnd"/>
                  <w:r w:rsidR="00321E2E" w:rsidRPr="00321E2E">
                    <w:rPr>
                      <w:rFonts w:ascii="Times New Roman" w:eastAsia="Calibri" w:hAnsi="Times New Roman" w:cs="Times New Roman"/>
                      <w:sz w:val="20"/>
                      <w:szCs w:val="20"/>
                      <w:lang w:val="sr-Latn-CS"/>
                    </w:rPr>
                    <w:t xml:space="preserve"> </w:t>
                  </w:r>
                  <w:proofErr w:type="spellStart"/>
                  <w:r w:rsidR="00321E2E" w:rsidRPr="00321E2E">
                    <w:rPr>
                      <w:rFonts w:ascii="Times New Roman" w:eastAsia="Calibri" w:hAnsi="Times New Roman" w:cs="Times New Roman"/>
                      <w:sz w:val="20"/>
                      <w:szCs w:val="20"/>
                      <w:lang w:val="sr-Latn-CS"/>
                    </w:rPr>
                    <w:t>location</w:t>
                  </w:r>
                  <w:proofErr w:type="spellEnd"/>
                  <w:r w:rsidR="00321E2E" w:rsidRPr="00321E2E">
                    <w:rPr>
                      <w:rFonts w:ascii="Times New Roman" w:eastAsia="Calibri" w:hAnsi="Times New Roman" w:cs="Times New Roman"/>
                      <w:sz w:val="20"/>
                      <w:szCs w:val="20"/>
                      <w:lang w:val="sr-Latn-CS"/>
                    </w:rPr>
                    <w:t xml:space="preserve"> Novi Sad)</w:t>
                  </w:r>
                </w:p>
              </w:tc>
              <w:tc>
                <w:tcPr>
                  <w:tcW w:w="962" w:type="pct"/>
                  <w:vAlign w:val="center"/>
                </w:tcPr>
                <w:p w14:paraId="5B1F4049" w14:textId="77777777" w:rsidR="009F20E4" w:rsidRPr="009F20E4" w:rsidRDefault="009F20E4" w:rsidP="00C960AD">
                  <w:pPr>
                    <w:spacing w:after="0"/>
                    <w:jc w:val="center"/>
                    <w:rPr>
                      <w:rFonts w:ascii="Times New Roman" w:eastAsia="Calibri" w:hAnsi="Times New Roman" w:cs="Times New Roman"/>
                      <w:sz w:val="20"/>
                      <w:szCs w:val="20"/>
                    </w:rPr>
                  </w:pPr>
                  <w:r w:rsidRPr="009F20E4">
                    <w:rPr>
                      <w:rFonts w:ascii="Times New Roman" w:eastAsia="Calibri" w:hAnsi="Times New Roman" w:cs="Times New Roman"/>
                      <w:sz w:val="20"/>
                      <w:szCs w:val="20"/>
                    </w:rPr>
                    <w:t>434</w:t>
                  </w:r>
                </w:p>
              </w:tc>
              <w:tc>
                <w:tcPr>
                  <w:tcW w:w="1191" w:type="pct"/>
                  <w:vAlign w:val="center"/>
                </w:tcPr>
                <w:p w14:paraId="58F228DA" w14:textId="77777777" w:rsidR="009F20E4" w:rsidRPr="009F20E4" w:rsidRDefault="009F20E4" w:rsidP="009F20E4">
                  <w:pPr>
                    <w:spacing w:after="0"/>
                    <w:jc w:val="center"/>
                    <w:rPr>
                      <w:rFonts w:ascii="Times New Roman" w:hAnsi="Times New Roman" w:cs="Times New Roman"/>
                      <w:sz w:val="20"/>
                      <w:szCs w:val="20"/>
                    </w:rPr>
                  </w:pPr>
                  <w:proofErr w:type="spellStart"/>
                  <w:r w:rsidRPr="009F20E4">
                    <w:rPr>
                      <w:rFonts w:ascii="Times New Roman" w:hAnsi="Times New Roman" w:cs="Times New Roman"/>
                      <w:sz w:val="20"/>
                      <w:szCs w:val="20"/>
                    </w:rPr>
                    <w:t>Engaged</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on</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any</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legal</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basis</w:t>
                  </w:r>
                  <w:proofErr w:type="spellEnd"/>
                </w:p>
              </w:tc>
            </w:tr>
          </w:tbl>
          <w:p w14:paraId="361AF49C" w14:textId="77777777" w:rsidR="009F20E4" w:rsidRPr="009F20E4" w:rsidRDefault="009F20E4" w:rsidP="009F20E4">
            <w:pPr>
              <w:pStyle w:val="ListParagraph"/>
              <w:suppressAutoHyphens w:val="0"/>
              <w:contextualSpacing/>
              <w:jc w:val="both"/>
              <w:rPr>
                <w:rFonts w:ascii="Times New Roman" w:hAnsi="Times New Roman" w:cs="Times New Roman"/>
                <w:sz w:val="20"/>
                <w:szCs w:val="20"/>
                <w:lang w:val="en-GB"/>
              </w:rPr>
            </w:pPr>
          </w:p>
          <w:p w14:paraId="43502EFD" w14:textId="19569F96" w:rsidR="009F20E4" w:rsidRPr="009F20E4" w:rsidRDefault="009F20E4" w:rsidP="009F20E4">
            <w:pPr>
              <w:pStyle w:val="ListParagraph"/>
              <w:suppressAutoHyphens w:val="0"/>
              <w:contextualSpacing/>
              <w:jc w:val="both"/>
              <w:rPr>
                <w:rFonts w:ascii="Times New Roman" w:hAnsi="Times New Roman" w:cs="Times New Roman"/>
                <w:b/>
                <w:sz w:val="20"/>
                <w:szCs w:val="20"/>
                <w:lang w:val="en-GB"/>
              </w:rPr>
            </w:pPr>
            <w:r w:rsidRPr="009F20E4">
              <w:rPr>
                <w:rFonts w:ascii="Times New Roman" w:hAnsi="Times New Roman" w:cs="Times New Roman"/>
                <w:b/>
                <w:sz w:val="20"/>
                <w:szCs w:val="20"/>
                <w:lang w:val="en-GB"/>
              </w:rPr>
              <w:t>Lot 2: Pan</w:t>
            </w:r>
            <w:proofErr w:type="spellStart"/>
            <w:r w:rsidRPr="009F20E4">
              <w:rPr>
                <w:rFonts w:ascii="Times New Roman" w:hAnsi="Times New Roman" w:cs="Times New Roman"/>
                <w:b/>
                <w:sz w:val="20"/>
                <w:szCs w:val="20"/>
                <w:lang w:val="sr-Latn-RS"/>
              </w:rPr>
              <w:t>čevo</w:t>
            </w:r>
            <w:proofErr w:type="spellEnd"/>
            <w:r w:rsidRPr="009F20E4">
              <w:rPr>
                <w:rFonts w:ascii="Times New Roman" w:hAnsi="Times New Roman" w:cs="Times New Roman"/>
                <w:b/>
                <w:sz w:val="20"/>
                <w:szCs w:val="20"/>
                <w:lang w:val="sr-Latn-R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795"/>
              <w:gridCol w:w="1268"/>
              <w:gridCol w:w="1670"/>
              <w:gridCol w:w="2068"/>
            </w:tblGrid>
            <w:tr w:rsidR="009F20E4" w:rsidRPr="009F20E4" w14:paraId="55016012" w14:textId="77777777" w:rsidTr="007A1797">
              <w:trPr>
                <w:trHeight w:val="284"/>
              </w:trPr>
              <w:tc>
                <w:tcPr>
                  <w:tcW w:w="1083" w:type="pct"/>
                  <w:shd w:val="clear" w:color="auto" w:fill="F2F2F2"/>
                  <w:vAlign w:val="center"/>
                </w:tcPr>
                <w:p w14:paraId="76277B18" w14:textId="77777777" w:rsidR="009F20E4" w:rsidRPr="009F20E4" w:rsidRDefault="009F20E4" w:rsidP="009F20E4">
                  <w:pPr>
                    <w:spacing w:after="0"/>
                    <w:rPr>
                      <w:rFonts w:ascii="Times New Roman" w:eastAsia="Calibri" w:hAnsi="Times New Roman" w:cs="Times New Roman"/>
                      <w:sz w:val="20"/>
                      <w:szCs w:val="20"/>
                    </w:rPr>
                  </w:pPr>
                  <w:proofErr w:type="spellStart"/>
                  <w:r w:rsidRPr="009F20E4">
                    <w:rPr>
                      <w:rFonts w:ascii="Times New Roman" w:eastAsia="Calibri" w:hAnsi="Times New Roman" w:cs="Times New Roman"/>
                      <w:sz w:val="20"/>
                      <w:szCs w:val="20"/>
                    </w:rPr>
                    <w:t>Position</w:t>
                  </w:r>
                  <w:proofErr w:type="spellEnd"/>
                  <w:r w:rsidRPr="009F20E4">
                    <w:rPr>
                      <w:rFonts w:ascii="Times New Roman" w:eastAsia="Calibri" w:hAnsi="Times New Roman" w:cs="Times New Roman"/>
                      <w:sz w:val="20"/>
                      <w:szCs w:val="20"/>
                    </w:rPr>
                    <w:t xml:space="preserve"> </w:t>
                  </w:r>
                </w:p>
              </w:tc>
              <w:tc>
                <w:tcPr>
                  <w:tcW w:w="1034" w:type="pct"/>
                  <w:shd w:val="clear" w:color="auto" w:fill="F2F2F2"/>
                  <w:vAlign w:val="center"/>
                </w:tcPr>
                <w:p w14:paraId="63AA4A18" w14:textId="77777777" w:rsidR="009F20E4" w:rsidRPr="009F20E4" w:rsidRDefault="009F20E4" w:rsidP="009F20E4">
                  <w:pPr>
                    <w:spacing w:after="0"/>
                    <w:rPr>
                      <w:rFonts w:ascii="Times New Roman" w:eastAsia="Calibri" w:hAnsi="Times New Roman" w:cs="Times New Roman"/>
                      <w:sz w:val="20"/>
                      <w:szCs w:val="20"/>
                    </w:rPr>
                  </w:pPr>
                  <w:proofErr w:type="spellStart"/>
                  <w:r w:rsidRPr="009F20E4">
                    <w:rPr>
                      <w:rFonts w:ascii="Times New Roman" w:eastAsia="Calibri" w:hAnsi="Times New Roman" w:cs="Times New Roman"/>
                      <w:sz w:val="20"/>
                      <w:szCs w:val="20"/>
                    </w:rPr>
                    <w:t>Qualifications</w:t>
                  </w:r>
                  <w:proofErr w:type="spellEnd"/>
                  <w:r w:rsidRPr="009F20E4">
                    <w:rPr>
                      <w:rFonts w:ascii="Times New Roman" w:eastAsia="Calibri" w:hAnsi="Times New Roman" w:cs="Times New Roman"/>
                      <w:sz w:val="20"/>
                      <w:szCs w:val="20"/>
                    </w:rPr>
                    <w:t xml:space="preserve"> </w:t>
                  </w:r>
                </w:p>
              </w:tc>
              <w:tc>
                <w:tcPr>
                  <w:tcW w:w="730" w:type="pct"/>
                  <w:shd w:val="clear" w:color="auto" w:fill="F2F2F2"/>
                  <w:vAlign w:val="center"/>
                </w:tcPr>
                <w:p w14:paraId="16E956A9" w14:textId="77777777" w:rsidR="009F20E4" w:rsidRPr="009F20E4" w:rsidRDefault="009F20E4" w:rsidP="009F20E4">
                  <w:pPr>
                    <w:spacing w:after="0"/>
                    <w:jc w:val="center"/>
                    <w:rPr>
                      <w:rFonts w:ascii="Times New Roman" w:eastAsia="Calibri" w:hAnsi="Times New Roman" w:cs="Times New Roman"/>
                      <w:sz w:val="20"/>
                      <w:szCs w:val="20"/>
                    </w:rPr>
                  </w:pPr>
                  <w:proofErr w:type="spellStart"/>
                  <w:r w:rsidRPr="009F20E4">
                    <w:rPr>
                      <w:rFonts w:ascii="Times New Roman" w:eastAsia="Calibri" w:hAnsi="Times New Roman" w:cs="Times New Roman"/>
                      <w:sz w:val="20"/>
                      <w:szCs w:val="20"/>
                    </w:rPr>
                    <w:t>Number</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of</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persons</w:t>
                  </w:r>
                  <w:proofErr w:type="spellEnd"/>
                </w:p>
              </w:tc>
              <w:tc>
                <w:tcPr>
                  <w:tcW w:w="962" w:type="pct"/>
                  <w:shd w:val="clear" w:color="auto" w:fill="F2F2F2"/>
                  <w:vAlign w:val="center"/>
                </w:tcPr>
                <w:p w14:paraId="10AE4001" w14:textId="77777777" w:rsidR="009F20E4" w:rsidRPr="009F20E4" w:rsidRDefault="009F20E4" w:rsidP="009F20E4">
                  <w:pPr>
                    <w:spacing w:after="0"/>
                    <w:jc w:val="center"/>
                    <w:rPr>
                      <w:rFonts w:ascii="Times New Roman" w:eastAsia="Calibri" w:hAnsi="Times New Roman" w:cs="Times New Roman"/>
                      <w:sz w:val="20"/>
                      <w:szCs w:val="20"/>
                    </w:rPr>
                  </w:pPr>
                  <w:proofErr w:type="spellStart"/>
                  <w:r w:rsidRPr="009F20E4">
                    <w:rPr>
                      <w:rFonts w:ascii="Times New Roman" w:eastAsia="Calibri" w:hAnsi="Times New Roman" w:cs="Times New Roman"/>
                      <w:sz w:val="20"/>
                      <w:szCs w:val="20"/>
                    </w:rPr>
                    <w:t>License</w:t>
                  </w:r>
                  <w:proofErr w:type="spellEnd"/>
                  <w:r w:rsidRPr="009F20E4">
                    <w:rPr>
                      <w:rFonts w:ascii="Times New Roman" w:eastAsia="Calibri" w:hAnsi="Times New Roman" w:cs="Times New Roman"/>
                      <w:sz w:val="20"/>
                      <w:szCs w:val="20"/>
                    </w:rPr>
                    <w:t xml:space="preserve"> </w:t>
                  </w:r>
                </w:p>
              </w:tc>
              <w:tc>
                <w:tcPr>
                  <w:tcW w:w="1191" w:type="pct"/>
                  <w:shd w:val="clear" w:color="auto" w:fill="F2F2F2"/>
                  <w:vAlign w:val="center"/>
                </w:tcPr>
                <w:p w14:paraId="07DA1918" w14:textId="77777777" w:rsidR="009F20E4" w:rsidRPr="009F20E4" w:rsidRDefault="009F20E4" w:rsidP="009F20E4">
                  <w:pPr>
                    <w:spacing w:after="0"/>
                    <w:jc w:val="center"/>
                    <w:rPr>
                      <w:rFonts w:ascii="Times New Roman" w:eastAsia="Calibri" w:hAnsi="Times New Roman" w:cs="Times New Roman"/>
                      <w:sz w:val="20"/>
                      <w:szCs w:val="20"/>
                    </w:rPr>
                  </w:pPr>
                  <w:proofErr w:type="spellStart"/>
                  <w:r w:rsidRPr="009F20E4">
                    <w:rPr>
                      <w:rFonts w:ascii="Times New Roman" w:eastAsia="Calibri" w:hAnsi="Times New Roman" w:cs="Times New Roman"/>
                      <w:sz w:val="20"/>
                      <w:szCs w:val="20"/>
                    </w:rPr>
                    <w:t>Basis</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for</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employment</w:t>
                  </w:r>
                  <w:proofErr w:type="spellEnd"/>
                </w:p>
              </w:tc>
            </w:tr>
            <w:tr w:rsidR="009F20E4" w:rsidRPr="009F20E4" w14:paraId="38B0E3D0" w14:textId="77777777" w:rsidTr="00BE6E6A">
              <w:trPr>
                <w:trHeight w:val="1400"/>
              </w:trPr>
              <w:tc>
                <w:tcPr>
                  <w:tcW w:w="1083" w:type="pct"/>
                  <w:shd w:val="clear" w:color="auto" w:fill="auto"/>
                  <w:vAlign w:val="center"/>
                </w:tcPr>
                <w:p w14:paraId="30CF6EC7" w14:textId="28696A32" w:rsidR="009F20E4" w:rsidRPr="009F20E4" w:rsidRDefault="00C960AD" w:rsidP="009F20E4">
                  <w:pPr>
                    <w:spacing w:after="0"/>
                    <w:rPr>
                      <w:rFonts w:ascii="Times New Roman" w:eastAsia="Calibri" w:hAnsi="Times New Roman" w:cs="Times New Roman"/>
                      <w:sz w:val="20"/>
                      <w:szCs w:val="20"/>
                    </w:rPr>
                  </w:pPr>
                  <w:proofErr w:type="spellStart"/>
                  <w:r w:rsidRPr="00C960AD">
                    <w:rPr>
                      <w:rFonts w:ascii="Times New Roman" w:eastAsia="Calibri" w:hAnsi="Times New Roman" w:cs="Times New Roman"/>
                      <w:sz w:val="20"/>
                      <w:szCs w:val="20"/>
                    </w:rPr>
                    <w:t>Responsible</w:t>
                  </w:r>
                  <w:proofErr w:type="spellEnd"/>
                  <w:r w:rsidRPr="00C960AD">
                    <w:rPr>
                      <w:rFonts w:ascii="Times New Roman" w:eastAsia="Calibri" w:hAnsi="Times New Roman" w:cs="Times New Roman"/>
                      <w:sz w:val="20"/>
                      <w:szCs w:val="20"/>
                    </w:rPr>
                    <w:t xml:space="preserve"> </w:t>
                  </w:r>
                  <w:proofErr w:type="spellStart"/>
                  <w:r w:rsidRPr="00C960AD">
                    <w:rPr>
                      <w:rFonts w:ascii="Times New Roman" w:eastAsia="Calibri" w:hAnsi="Times New Roman" w:cs="Times New Roman"/>
                      <w:sz w:val="20"/>
                      <w:szCs w:val="20"/>
                    </w:rPr>
                    <w:t>contracting</w:t>
                  </w:r>
                  <w:proofErr w:type="spellEnd"/>
                  <w:r w:rsidRPr="00C960AD">
                    <w:rPr>
                      <w:rFonts w:ascii="Times New Roman" w:eastAsia="Calibri" w:hAnsi="Times New Roman" w:cs="Times New Roman"/>
                      <w:sz w:val="20"/>
                      <w:szCs w:val="20"/>
                    </w:rPr>
                    <w:t xml:space="preserve"> </w:t>
                  </w:r>
                  <w:proofErr w:type="spellStart"/>
                  <w:r w:rsidRPr="00C960AD">
                    <w:rPr>
                      <w:rFonts w:ascii="Times New Roman" w:eastAsia="Calibri" w:hAnsi="Times New Roman" w:cs="Times New Roman"/>
                      <w:sz w:val="20"/>
                      <w:szCs w:val="20"/>
                    </w:rPr>
                    <w:t>engineer</w:t>
                  </w:r>
                  <w:proofErr w:type="spellEnd"/>
                  <w:r w:rsidRPr="00C960AD">
                    <w:rPr>
                      <w:rFonts w:ascii="Times New Roman" w:eastAsia="Calibri" w:hAnsi="Times New Roman" w:cs="Times New Roman"/>
                      <w:sz w:val="20"/>
                      <w:szCs w:val="20"/>
                    </w:rPr>
                    <w:t xml:space="preserve"> </w:t>
                  </w:r>
                  <w:r w:rsidRPr="00C960AD">
                    <w:rPr>
                      <w:rFonts w:ascii="Times New Roman" w:eastAsia="Calibri" w:hAnsi="Times New Roman" w:cs="Times New Roman"/>
                      <w:color w:val="000000"/>
                      <w:sz w:val="20"/>
                      <w:szCs w:val="20"/>
                      <w:lang w:val="en-US"/>
                    </w:rPr>
                    <w:t xml:space="preserve">– </w:t>
                  </w:r>
                  <w:proofErr w:type="spellStart"/>
                  <w:r w:rsidRPr="00C960AD">
                    <w:rPr>
                      <w:rFonts w:ascii="Times New Roman" w:eastAsia="Calibri" w:hAnsi="Times New Roman" w:cs="Times New Roman"/>
                      <w:color w:val="000000"/>
                      <w:sz w:val="20"/>
                      <w:szCs w:val="20"/>
                    </w:rPr>
                    <w:t>Contractor’s</w:t>
                  </w:r>
                  <w:proofErr w:type="spellEnd"/>
                  <w:r w:rsidRPr="00C960AD">
                    <w:rPr>
                      <w:rFonts w:ascii="Times New Roman" w:eastAsia="Calibri" w:hAnsi="Times New Roman" w:cs="Times New Roman"/>
                      <w:color w:val="000000"/>
                      <w:sz w:val="20"/>
                      <w:szCs w:val="20"/>
                    </w:rPr>
                    <w:t xml:space="preserve"> </w:t>
                  </w:r>
                  <w:proofErr w:type="spellStart"/>
                  <w:r w:rsidRPr="00C960AD">
                    <w:rPr>
                      <w:rFonts w:ascii="Times New Roman" w:eastAsia="Calibri" w:hAnsi="Times New Roman" w:cs="Times New Roman"/>
                      <w:color w:val="000000"/>
                      <w:sz w:val="20"/>
                      <w:szCs w:val="20"/>
                    </w:rPr>
                    <w:t>representative</w:t>
                  </w:r>
                  <w:proofErr w:type="spellEnd"/>
                </w:p>
              </w:tc>
              <w:tc>
                <w:tcPr>
                  <w:tcW w:w="1034" w:type="pct"/>
                  <w:shd w:val="clear" w:color="auto" w:fill="auto"/>
                  <w:vAlign w:val="center"/>
                </w:tcPr>
                <w:p w14:paraId="20D992C6" w14:textId="77777777" w:rsidR="009F20E4" w:rsidRPr="009F20E4" w:rsidRDefault="009F20E4" w:rsidP="009F20E4">
                  <w:pPr>
                    <w:spacing w:after="0"/>
                    <w:rPr>
                      <w:rFonts w:ascii="Times New Roman" w:eastAsia="Calibri" w:hAnsi="Times New Roman" w:cs="Times New Roman"/>
                      <w:sz w:val="20"/>
                      <w:szCs w:val="20"/>
                    </w:rPr>
                  </w:pPr>
                  <w:proofErr w:type="spellStart"/>
                  <w:r w:rsidRPr="009F20E4">
                    <w:rPr>
                      <w:rFonts w:ascii="Times New Roman" w:eastAsia="Calibri" w:hAnsi="Times New Roman" w:cs="Times New Roman"/>
                      <w:color w:val="000000"/>
                      <w:sz w:val="20"/>
                      <w:szCs w:val="20"/>
                    </w:rPr>
                    <w:t>BSc</w:t>
                  </w:r>
                  <w:proofErr w:type="spellEnd"/>
                  <w:r w:rsidRPr="009F20E4">
                    <w:rPr>
                      <w:rFonts w:ascii="Times New Roman" w:eastAsia="Calibri" w:hAnsi="Times New Roman" w:cs="Times New Roman"/>
                      <w:color w:val="000000"/>
                      <w:sz w:val="20"/>
                      <w:szCs w:val="20"/>
                    </w:rPr>
                    <w:t xml:space="preserve"> </w:t>
                  </w:r>
                  <w:proofErr w:type="spellStart"/>
                  <w:r w:rsidRPr="009F20E4">
                    <w:rPr>
                      <w:rFonts w:ascii="Times New Roman" w:eastAsia="Calibri" w:hAnsi="Times New Roman" w:cs="Times New Roman"/>
                      <w:color w:val="000000"/>
                      <w:sz w:val="20"/>
                      <w:szCs w:val="20"/>
                    </w:rPr>
                    <w:t>in</w:t>
                  </w:r>
                  <w:proofErr w:type="spellEnd"/>
                  <w:r w:rsidRPr="009F20E4">
                    <w:rPr>
                      <w:rFonts w:ascii="Times New Roman" w:eastAsia="Calibri" w:hAnsi="Times New Roman" w:cs="Times New Roman"/>
                      <w:color w:val="000000"/>
                      <w:sz w:val="20"/>
                      <w:szCs w:val="20"/>
                    </w:rPr>
                    <w:t xml:space="preserve"> </w:t>
                  </w:r>
                  <w:proofErr w:type="spellStart"/>
                  <w:r w:rsidRPr="009F20E4">
                    <w:rPr>
                      <w:rFonts w:ascii="Times New Roman" w:eastAsia="Calibri" w:hAnsi="Times New Roman" w:cs="Times New Roman"/>
                      <w:color w:val="000000"/>
                      <w:sz w:val="20"/>
                      <w:szCs w:val="20"/>
                    </w:rPr>
                    <w:t>Civil</w:t>
                  </w:r>
                  <w:proofErr w:type="spellEnd"/>
                  <w:r w:rsidRPr="009F20E4">
                    <w:rPr>
                      <w:rFonts w:ascii="Times New Roman" w:eastAsia="Calibri" w:hAnsi="Times New Roman" w:cs="Times New Roman"/>
                      <w:color w:val="000000"/>
                      <w:sz w:val="20"/>
                      <w:szCs w:val="20"/>
                    </w:rPr>
                    <w:t xml:space="preserve"> </w:t>
                  </w:r>
                  <w:proofErr w:type="spellStart"/>
                  <w:r w:rsidRPr="009F20E4">
                    <w:rPr>
                      <w:rFonts w:ascii="Times New Roman" w:eastAsia="Calibri" w:hAnsi="Times New Roman" w:cs="Times New Roman"/>
                      <w:color w:val="000000"/>
                      <w:sz w:val="20"/>
                      <w:szCs w:val="20"/>
                    </w:rPr>
                    <w:t>Engineering</w:t>
                  </w:r>
                  <w:proofErr w:type="spellEnd"/>
                  <w:r w:rsidRPr="009F20E4">
                    <w:rPr>
                      <w:rFonts w:ascii="Times New Roman" w:eastAsia="Calibri" w:hAnsi="Times New Roman" w:cs="Times New Roman"/>
                      <w:color w:val="000000"/>
                      <w:sz w:val="20"/>
                      <w:szCs w:val="20"/>
                    </w:rPr>
                    <w:t xml:space="preserve"> </w:t>
                  </w:r>
                  <w:proofErr w:type="spellStart"/>
                  <w:r w:rsidRPr="009F20E4">
                    <w:rPr>
                      <w:rFonts w:ascii="Times New Roman" w:eastAsia="Calibri" w:hAnsi="Times New Roman" w:cs="Times New Roman"/>
                      <w:color w:val="000000"/>
                      <w:sz w:val="20"/>
                      <w:szCs w:val="20"/>
                    </w:rPr>
                    <w:t>or</w:t>
                  </w:r>
                  <w:proofErr w:type="spellEnd"/>
                  <w:r w:rsidRPr="009F20E4">
                    <w:rPr>
                      <w:rFonts w:ascii="Times New Roman" w:eastAsia="Calibri" w:hAnsi="Times New Roman" w:cs="Times New Roman"/>
                      <w:color w:val="000000"/>
                      <w:sz w:val="20"/>
                      <w:szCs w:val="20"/>
                    </w:rPr>
                    <w:t xml:space="preserve"> </w:t>
                  </w:r>
                  <w:proofErr w:type="spellStart"/>
                  <w:r w:rsidRPr="009F20E4">
                    <w:rPr>
                      <w:rFonts w:ascii="Times New Roman" w:eastAsia="Calibri" w:hAnsi="Times New Roman" w:cs="Times New Roman"/>
                      <w:color w:val="000000"/>
                      <w:sz w:val="20"/>
                      <w:szCs w:val="20"/>
                    </w:rPr>
                    <w:t>Architecture</w:t>
                  </w:r>
                  <w:proofErr w:type="spellEnd"/>
                </w:p>
              </w:tc>
              <w:tc>
                <w:tcPr>
                  <w:tcW w:w="730" w:type="pct"/>
                  <w:shd w:val="clear" w:color="auto" w:fill="auto"/>
                  <w:vAlign w:val="center"/>
                </w:tcPr>
                <w:p w14:paraId="55E07E89" w14:textId="77777777" w:rsidR="009F20E4" w:rsidRPr="009F20E4" w:rsidRDefault="009F20E4" w:rsidP="009F20E4">
                  <w:pPr>
                    <w:spacing w:after="0"/>
                    <w:jc w:val="center"/>
                    <w:rPr>
                      <w:rFonts w:ascii="Times New Roman" w:eastAsia="Calibri" w:hAnsi="Times New Roman" w:cs="Times New Roman"/>
                      <w:sz w:val="20"/>
                      <w:szCs w:val="20"/>
                      <w:lang w:val="en-US"/>
                    </w:rPr>
                  </w:pPr>
                  <w:r w:rsidRPr="009F20E4">
                    <w:rPr>
                      <w:rFonts w:ascii="Times New Roman" w:eastAsia="Calibri" w:hAnsi="Times New Roman" w:cs="Times New Roman"/>
                      <w:sz w:val="20"/>
                      <w:szCs w:val="20"/>
                      <w:lang w:val="en-US"/>
                    </w:rPr>
                    <w:t>1</w:t>
                  </w:r>
                </w:p>
              </w:tc>
              <w:tc>
                <w:tcPr>
                  <w:tcW w:w="962" w:type="pct"/>
                  <w:shd w:val="clear" w:color="auto" w:fill="auto"/>
                  <w:vAlign w:val="center"/>
                </w:tcPr>
                <w:p w14:paraId="206327FC" w14:textId="097C157D" w:rsidR="009F20E4" w:rsidRPr="009F20E4" w:rsidRDefault="009F20E4" w:rsidP="00C960AD">
                  <w:pPr>
                    <w:spacing w:after="0"/>
                    <w:jc w:val="center"/>
                    <w:rPr>
                      <w:rFonts w:ascii="Times New Roman" w:eastAsia="Calibri" w:hAnsi="Times New Roman" w:cs="Times New Roman"/>
                      <w:sz w:val="20"/>
                      <w:szCs w:val="20"/>
                    </w:rPr>
                  </w:pPr>
                  <w:r w:rsidRPr="009F20E4">
                    <w:rPr>
                      <w:rFonts w:ascii="Times New Roman" w:eastAsia="Calibri" w:hAnsi="Times New Roman" w:cs="Times New Roman"/>
                      <w:sz w:val="20"/>
                      <w:szCs w:val="20"/>
                    </w:rPr>
                    <w:t xml:space="preserve">410 </w:t>
                  </w:r>
                  <w:proofErr w:type="spellStart"/>
                  <w:r w:rsidRPr="009F20E4">
                    <w:rPr>
                      <w:rFonts w:ascii="Times New Roman" w:eastAsia="Calibri" w:hAnsi="Times New Roman" w:cs="Times New Roman"/>
                      <w:sz w:val="20"/>
                      <w:szCs w:val="20"/>
                    </w:rPr>
                    <w:t>or</w:t>
                  </w:r>
                  <w:proofErr w:type="spellEnd"/>
                  <w:r w:rsidRPr="009F20E4">
                    <w:rPr>
                      <w:rFonts w:ascii="Times New Roman" w:eastAsia="Calibri" w:hAnsi="Times New Roman" w:cs="Times New Roman"/>
                      <w:sz w:val="20"/>
                      <w:szCs w:val="20"/>
                    </w:rPr>
                    <w:t xml:space="preserve"> 411</w:t>
                  </w:r>
                  <w:r w:rsidRPr="009F20E4">
                    <w:rPr>
                      <w:rFonts w:ascii="Times New Roman" w:eastAsia="Calibri" w:hAnsi="Times New Roman" w:cs="Times New Roman"/>
                      <w:sz w:val="20"/>
                      <w:szCs w:val="20"/>
                      <w:lang w:val="en-US"/>
                    </w:rPr>
                    <w:t xml:space="preserve"> </w:t>
                  </w:r>
                  <w:proofErr w:type="spellStart"/>
                  <w:r w:rsidRPr="009F20E4">
                    <w:rPr>
                      <w:rFonts w:ascii="Times New Roman" w:eastAsia="Calibri" w:hAnsi="Times New Roman" w:cs="Times New Roman"/>
                      <w:sz w:val="20"/>
                      <w:szCs w:val="20"/>
                    </w:rPr>
                    <w:t>or</w:t>
                  </w:r>
                  <w:proofErr w:type="spellEnd"/>
                  <w:r w:rsidRPr="009F20E4">
                    <w:rPr>
                      <w:rFonts w:ascii="Times New Roman" w:eastAsia="Calibri" w:hAnsi="Times New Roman" w:cs="Times New Roman"/>
                      <w:sz w:val="20"/>
                      <w:szCs w:val="20"/>
                    </w:rPr>
                    <w:t xml:space="preserve"> 400 </w:t>
                  </w:r>
                  <w:proofErr w:type="spellStart"/>
                  <w:r w:rsidRPr="009F20E4">
                    <w:rPr>
                      <w:rFonts w:ascii="Times New Roman" w:eastAsia="Calibri" w:hAnsi="Times New Roman" w:cs="Times New Roman"/>
                      <w:sz w:val="20"/>
                      <w:szCs w:val="20"/>
                    </w:rPr>
                    <w:t>or</w:t>
                  </w:r>
                  <w:proofErr w:type="spellEnd"/>
                  <w:r w:rsidRPr="009F20E4">
                    <w:rPr>
                      <w:rFonts w:ascii="Times New Roman" w:eastAsia="Calibri" w:hAnsi="Times New Roman" w:cs="Times New Roman"/>
                      <w:sz w:val="20"/>
                      <w:szCs w:val="20"/>
                    </w:rPr>
                    <w:t xml:space="preserve"> 401</w:t>
                  </w:r>
                </w:p>
              </w:tc>
              <w:tc>
                <w:tcPr>
                  <w:tcW w:w="1191" w:type="pct"/>
                  <w:shd w:val="clear" w:color="auto" w:fill="auto"/>
                  <w:vAlign w:val="center"/>
                </w:tcPr>
                <w:p w14:paraId="1701BCB3" w14:textId="77777777" w:rsidR="009F20E4" w:rsidRPr="009F20E4" w:rsidRDefault="009F20E4" w:rsidP="009F20E4">
                  <w:pPr>
                    <w:spacing w:after="0"/>
                    <w:jc w:val="center"/>
                    <w:rPr>
                      <w:rFonts w:ascii="Times New Roman" w:eastAsia="Calibri" w:hAnsi="Times New Roman" w:cs="Times New Roman"/>
                      <w:sz w:val="20"/>
                      <w:szCs w:val="20"/>
                    </w:rPr>
                  </w:pPr>
                  <w:proofErr w:type="spellStart"/>
                  <w:r w:rsidRPr="009F20E4">
                    <w:rPr>
                      <w:rFonts w:ascii="Times New Roman" w:hAnsi="Times New Roman" w:cs="Times New Roman"/>
                      <w:sz w:val="20"/>
                      <w:szCs w:val="20"/>
                    </w:rPr>
                    <w:t>Employed</w:t>
                  </w:r>
                  <w:proofErr w:type="spellEnd"/>
                </w:p>
              </w:tc>
            </w:tr>
            <w:tr w:rsidR="009F20E4" w:rsidRPr="009F20E4" w14:paraId="0725346B" w14:textId="77777777" w:rsidTr="00BE6E6A">
              <w:trPr>
                <w:trHeight w:val="1123"/>
              </w:trPr>
              <w:tc>
                <w:tcPr>
                  <w:tcW w:w="1083" w:type="pct"/>
                  <w:vAlign w:val="center"/>
                </w:tcPr>
                <w:p w14:paraId="752072A8" w14:textId="54F2DC38" w:rsidR="009F20E4" w:rsidRPr="009F20E4" w:rsidRDefault="00C960AD" w:rsidP="009F20E4">
                  <w:pPr>
                    <w:spacing w:after="0"/>
                    <w:rPr>
                      <w:rFonts w:ascii="Times New Roman" w:eastAsia="Calibri" w:hAnsi="Times New Roman" w:cs="Times New Roman"/>
                      <w:sz w:val="20"/>
                      <w:szCs w:val="20"/>
                      <w:lang w:val="en-US"/>
                    </w:rPr>
                  </w:pPr>
                  <w:proofErr w:type="spellStart"/>
                  <w:r w:rsidRPr="009F20E4">
                    <w:rPr>
                      <w:rFonts w:ascii="Times New Roman" w:eastAsia="Calibri" w:hAnsi="Times New Roman" w:cs="Times New Roman"/>
                      <w:sz w:val="20"/>
                      <w:szCs w:val="20"/>
                    </w:rPr>
                    <w:t>Responsible</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contracting</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engineer</w:t>
                  </w:r>
                  <w:proofErr w:type="spellEnd"/>
                </w:p>
              </w:tc>
              <w:tc>
                <w:tcPr>
                  <w:tcW w:w="1034" w:type="pct"/>
                  <w:vAlign w:val="center"/>
                </w:tcPr>
                <w:p w14:paraId="78DB9DE6" w14:textId="77777777" w:rsidR="009F20E4" w:rsidRPr="009F20E4" w:rsidRDefault="009F20E4" w:rsidP="009F20E4">
                  <w:pPr>
                    <w:spacing w:after="0"/>
                    <w:rPr>
                      <w:rFonts w:ascii="Times New Roman" w:eastAsia="Calibri" w:hAnsi="Times New Roman" w:cs="Times New Roman"/>
                      <w:sz w:val="20"/>
                      <w:szCs w:val="20"/>
                    </w:rPr>
                  </w:pPr>
                  <w:proofErr w:type="spellStart"/>
                  <w:r w:rsidRPr="009F20E4">
                    <w:rPr>
                      <w:rFonts w:ascii="Times New Roman" w:eastAsia="Calibri" w:hAnsi="Times New Roman" w:cs="Times New Roman"/>
                      <w:sz w:val="20"/>
                      <w:szCs w:val="20"/>
                    </w:rPr>
                    <w:t>BSc</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in</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Electrical</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Engineering</w:t>
                  </w:r>
                  <w:proofErr w:type="spellEnd"/>
                </w:p>
              </w:tc>
              <w:tc>
                <w:tcPr>
                  <w:tcW w:w="730" w:type="pct"/>
                  <w:vAlign w:val="center"/>
                </w:tcPr>
                <w:p w14:paraId="1C457EF6" w14:textId="5762BA14" w:rsidR="009F20E4" w:rsidRPr="009F20E4" w:rsidRDefault="00A24781" w:rsidP="009F20E4">
                  <w:pPr>
                    <w:spacing w:after="0"/>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962" w:type="pct"/>
                  <w:vAlign w:val="center"/>
                </w:tcPr>
                <w:p w14:paraId="31246754" w14:textId="77777777" w:rsidR="009F20E4" w:rsidRPr="009F20E4" w:rsidRDefault="009F20E4" w:rsidP="00C960AD">
                  <w:pPr>
                    <w:spacing w:after="0"/>
                    <w:jc w:val="center"/>
                    <w:rPr>
                      <w:rFonts w:ascii="Times New Roman" w:eastAsia="Calibri" w:hAnsi="Times New Roman" w:cs="Times New Roman"/>
                      <w:sz w:val="20"/>
                      <w:szCs w:val="20"/>
                    </w:rPr>
                  </w:pPr>
                  <w:r w:rsidRPr="009F20E4">
                    <w:rPr>
                      <w:rFonts w:ascii="Times New Roman" w:eastAsia="Calibri" w:hAnsi="Times New Roman" w:cs="Times New Roman"/>
                      <w:sz w:val="20"/>
                      <w:szCs w:val="20"/>
                    </w:rPr>
                    <w:t>450</w:t>
                  </w:r>
                </w:p>
              </w:tc>
              <w:tc>
                <w:tcPr>
                  <w:tcW w:w="1191" w:type="pct"/>
                  <w:vAlign w:val="center"/>
                </w:tcPr>
                <w:p w14:paraId="5C9CD1B0" w14:textId="77777777" w:rsidR="009F20E4" w:rsidRPr="009F20E4" w:rsidRDefault="009F20E4" w:rsidP="009F20E4">
                  <w:pPr>
                    <w:spacing w:after="0"/>
                    <w:jc w:val="center"/>
                    <w:rPr>
                      <w:rFonts w:ascii="Times New Roman" w:eastAsia="Calibri" w:hAnsi="Times New Roman" w:cs="Times New Roman"/>
                      <w:sz w:val="20"/>
                      <w:szCs w:val="20"/>
                    </w:rPr>
                  </w:pPr>
                  <w:proofErr w:type="spellStart"/>
                  <w:r w:rsidRPr="009F20E4">
                    <w:rPr>
                      <w:rFonts w:ascii="Times New Roman" w:hAnsi="Times New Roman" w:cs="Times New Roman"/>
                      <w:sz w:val="20"/>
                      <w:szCs w:val="20"/>
                    </w:rPr>
                    <w:t>Engaged</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on</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any</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legal</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basis</w:t>
                  </w:r>
                  <w:proofErr w:type="spellEnd"/>
                  <w:r w:rsidRPr="009F20E4">
                    <w:rPr>
                      <w:rFonts w:ascii="Times New Roman" w:hAnsi="Times New Roman" w:cs="Times New Roman"/>
                      <w:sz w:val="20"/>
                      <w:szCs w:val="20"/>
                    </w:rPr>
                    <w:t xml:space="preserve"> </w:t>
                  </w:r>
                </w:p>
              </w:tc>
            </w:tr>
            <w:tr w:rsidR="009F20E4" w:rsidRPr="009F20E4" w14:paraId="0698CBBE" w14:textId="77777777" w:rsidTr="00BE6E6A">
              <w:trPr>
                <w:trHeight w:val="982"/>
              </w:trPr>
              <w:tc>
                <w:tcPr>
                  <w:tcW w:w="1083" w:type="pct"/>
                  <w:vAlign w:val="center"/>
                </w:tcPr>
                <w:p w14:paraId="17293239" w14:textId="3B50E7CD" w:rsidR="009F20E4" w:rsidRPr="009F20E4" w:rsidRDefault="00C960AD" w:rsidP="009F20E4">
                  <w:pPr>
                    <w:spacing w:after="0"/>
                    <w:rPr>
                      <w:rFonts w:ascii="Times New Roman" w:eastAsia="Calibri" w:hAnsi="Times New Roman" w:cs="Times New Roman"/>
                      <w:sz w:val="20"/>
                      <w:szCs w:val="20"/>
                      <w:lang w:val="en-US"/>
                    </w:rPr>
                  </w:pPr>
                  <w:proofErr w:type="spellStart"/>
                  <w:r w:rsidRPr="009F20E4">
                    <w:rPr>
                      <w:rFonts w:ascii="Times New Roman" w:eastAsia="Calibri" w:hAnsi="Times New Roman" w:cs="Times New Roman"/>
                      <w:sz w:val="20"/>
                      <w:szCs w:val="20"/>
                    </w:rPr>
                    <w:t>Responsible</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contracting</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engineer</w:t>
                  </w:r>
                  <w:proofErr w:type="spellEnd"/>
                </w:p>
              </w:tc>
              <w:tc>
                <w:tcPr>
                  <w:tcW w:w="1034" w:type="pct"/>
                  <w:vAlign w:val="center"/>
                </w:tcPr>
                <w:p w14:paraId="22787A64" w14:textId="77777777" w:rsidR="009F20E4" w:rsidRPr="009F20E4" w:rsidRDefault="009F20E4" w:rsidP="009F20E4">
                  <w:pPr>
                    <w:spacing w:after="0"/>
                    <w:rPr>
                      <w:rFonts w:ascii="Times New Roman" w:eastAsia="Calibri" w:hAnsi="Times New Roman" w:cs="Times New Roman"/>
                      <w:sz w:val="20"/>
                      <w:szCs w:val="20"/>
                    </w:rPr>
                  </w:pPr>
                  <w:proofErr w:type="spellStart"/>
                  <w:r w:rsidRPr="009F20E4">
                    <w:rPr>
                      <w:rFonts w:ascii="Times New Roman" w:eastAsia="Calibri" w:hAnsi="Times New Roman" w:cs="Times New Roman"/>
                      <w:sz w:val="20"/>
                      <w:szCs w:val="20"/>
                    </w:rPr>
                    <w:t>BSc</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in</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Mechanical</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Engineering</w:t>
                  </w:r>
                  <w:proofErr w:type="spellEnd"/>
                </w:p>
              </w:tc>
              <w:tc>
                <w:tcPr>
                  <w:tcW w:w="730" w:type="pct"/>
                  <w:vAlign w:val="center"/>
                </w:tcPr>
                <w:p w14:paraId="02FC2553" w14:textId="103AB858" w:rsidR="009F20E4" w:rsidRPr="009F20E4" w:rsidRDefault="00A24781" w:rsidP="009F20E4">
                  <w:pPr>
                    <w:spacing w:after="0"/>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962" w:type="pct"/>
                  <w:vAlign w:val="center"/>
                </w:tcPr>
                <w:p w14:paraId="1E309036" w14:textId="77777777" w:rsidR="009F20E4" w:rsidRPr="009F20E4" w:rsidRDefault="009F20E4" w:rsidP="00C960AD">
                  <w:pPr>
                    <w:spacing w:after="0"/>
                    <w:jc w:val="center"/>
                    <w:rPr>
                      <w:rFonts w:ascii="Times New Roman" w:eastAsia="Calibri" w:hAnsi="Times New Roman" w:cs="Times New Roman"/>
                      <w:sz w:val="20"/>
                      <w:szCs w:val="20"/>
                    </w:rPr>
                  </w:pPr>
                  <w:r w:rsidRPr="009F20E4">
                    <w:rPr>
                      <w:rFonts w:ascii="Times New Roman" w:eastAsia="Calibri" w:hAnsi="Times New Roman" w:cs="Times New Roman"/>
                      <w:sz w:val="20"/>
                      <w:szCs w:val="20"/>
                    </w:rPr>
                    <w:t>430</w:t>
                  </w:r>
                </w:p>
              </w:tc>
              <w:tc>
                <w:tcPr>
                  <w:tcW w:w="1191" w:type="pct"/>
                  <w:vAlign w:val="center"/>
                </w:tcPr>
                <w:p w14:paraId="48191DCB" w14:textId="77777777" w:rsidR="009F20E4" w:rsidRPr="009F20E4" w:rsidRDefault="009F20E4" w:rsidP="009F20E4">
                  <w:pPr>
                    <w:spacing w:after="0"/>
                    <w:jc w:val="center"/>
                    <w:rPr>
                      <w:rFonts w:ascii="Times New Roman" w:hAnsi="Times New Roman" w:cs="Times New Roman"/>
                      <w:sz w:val="20"/>
                      <w:szCs w:val="20"/>
                    </w:rPr>
                  </w:pPr>
                  <w:proofErr w:type="spellStart"/>
                  <w:r w:rsidRPr="009F20E4">
                    <w:rPr>
                      <w:rFonts w:ascii="Times New Roman" w:hAnsi="Times New Roman" w:cs="Times New Roman"/>
                      <w:sz w:val="20"/>
                      <w:szCs w:val="20"/>
                    </w:rPr>
                    <w:t>Engaged</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on</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any</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legal</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basis</w:t>
                  </w:r>
                  <w:proofErr w:type="spellEnd"/>
                </w:p>
              </w:tc>
            </w:tr>
            <w:tr w:rsidR="009F20E4" w:rsidRPr="009F20E4" w14:paraId="0F728F07" w14:textId="77777777" w:rsidTr="00BE6E6A">
              <w:trPr>
                <w:trHeight w:val="969"/>
              </w:trPr>
              <w:tc>
                <w:tcPr>
                  <w:tcW w:w="1083" w:type="pct"/>
                  <w:vAlign w:val="center"/>
                </w:tcPr>
                <w:p w14:paraId="2ECCE714" w14:textId="14D4D854" w:rsidR="009F20E4" w:rsidRPr="009F20E4" w:rsidRDefault="00C960AD" w:rsidP="009F20E4">
                  <w:pPr>
                    <w:spacing w:after="0"/>
                    <w:rPr>
                      <w:rFonts w:ascii="Times New Roman" w:eastAsia="Calibri" w:hAnsi="Times New Roman" w:cs="Times New Roman"/>
                      <w:sz w:val="20"/>
                      <w:szCs w:val="20"/>
                      <w:lang w:val="en-US"/>
                    </w:rPr>
                  </w:pPr>
                  <w:proofErr w:type="spellStart"/>
                  <w:r w:rsidRPr="009F20E4">
                    <w:rPr>
                      <w:rFonts w:ascii="Times New Roman" w:eastAsia="Calibri" w:hAnsi="Times New Roman" w:cs="Times New Roman"/>
                      <w:sz w:val="20"/>
                      <w:szCs w:val="20"/>
                    </w:rPr>
                    <w:t>Responsible</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contracting</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engineer</w:t>
                  </w:r>
                  <w:proofErr w:type="spellEnd"/>
                </w:p>
              </w:tc>
              <w:tc>
                <w:tcPr>
                  <w:tcW w:w="1034" w:type="pct"/>
                  <w:vAlign w:val="center"/>
                </w:tcPr>
                <w:p w14:paraId="05C9C6CE" w14:textId="77777777" w:rsidR="009F20E4" w:rsidRPr="009F20E4" w:rsidRDefault="009F20E4" w:rsidP="009F20E4">
                  <w:pPr>
                    <w:spacing w:after="0"/>
                    <w:rPr>
                      <w:rFonts w:ascii="Times New Roman" w:eastAsia="Calibri" w:hAnsi="Times New Roman" w:cs="Times New Roman"/>
                      <w:sz w:val="20"/>
                      <w:szCs w:val="20"/>
                    </w:rPr>
                  </w:pPr>
                  <w:proofErr w:type="spellStart"/>
                  <w:r w:rsidRPr="009F20E4">
                    <w:rPr>
                      <w:rFonts w:ascii="Times New Roman" w:eastAsia="Calibri" w:hAnsi="Times New Roman" w:cs="Times New Roman"/>
                      <w:sz w:val="20"/>
                      <w:szCs w:val="20"/>
                    </w:rPr>
                    <w:t>BSc</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in</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Mechanical</w:t>
                  </w:r>
                  <w:proofErr w:type="spellEnd"/>
                  <w:r w:rsidRPr="009F20E4">
                    <w:rPr>
                      <w:rFonts w:ascii="Times New Roman" w:eastAsia="Calibri" w:hAnsi="Times New Roman" w:cs="Times New Roman"/>
                      <w:sz w:val="20"/>
                      <w:szCs w:val="20"/>
                    </w:rPr>
                    <w:t xml:space="preserve"> </w:t>
                  </w:r>
                  <w:proofErr w:type="spellStart"/>
                  <w:r w:rsidRPr="009F20E4">
                    <w:rPr>
                      <w:rFonts w:ascii="Times New Roman" w:eastAsia="Calibri" w:hAnsi="Times New Roman" w:cs="Times New Roman"/>
                      <w:sz w:val="20"/>
                      <w:szCs w:val="20"/>
                    </w:rPr>
                    <w:t>Engineering</w:t>
                  </w:r>
                  <w:proofErr w:type="spellEnd"/>
                </w:p>
              </w:tc>
              <w:tc>
                <w:tcPr>
                  <w:tcW w:w="730" w:type="pct"/>
                  <w:vAlign w:val="center"/>
                </w:tcPr>
                <w:p w14:paraId="28DC8CD4" w14:textId="77777777" w:rsidR="009F20E4" w:rsidRPr="009F20E4" w:rsidRDefault="009F20E4" w:rsidP="009F20E4">
                  <w:pPr>
                    <w:spacing w:after="0"/>
                    <w:jc w:val="center"/>
                    <w:rPr>
                      <w:rFonts w:ascii="Times New Roman" w:eastAsia="Calibri" w:hAnsi="Times New Roman" w:cs="Times New Roman"/>
                      <w:sz w:val="20"/>
                      <w:szCs w:val="20"/>
                    </w:rPr>
                  </w:pPr>
                  <w:r w:rsidRPr="009F20E4">
                    <w:rPr>
                      <w:rFonts w:ascii="Times New Roman" w:eastAsia="Calibri" w:hAnsi="Times New Roman" w:cs="Times New Roman"/>
                      <w:sz w:val="20"/>
                      <w:szCs w:val="20"/>
                    </w:rPr>
                    <w:t>1</w:t>
                  </w:r>
                </w:p>
              </w:tc>
              <w:tc>
                <w:tcPr>
                  <w:tcW w:w="962" w:type="pct"/>
                  <w:vAlign w:val="center"/>
                </w:tcPr>
                <w:p w14:paraId="30135923" w14:textId="77777777" w:rsidR="009F20E4" w:rsidRPr="009F20E4" w:rsidRDefault="009F20E4" w:rsidP="00C960AD">
                  <w:pPr>
                    <w:spacing w:after="0"/>
                    <w:jc w:val="center"/>
                    <w:rPr>
                      <w:rFonts w:ascii="Times New Roman" w:eastAsia="Calibri" w:hAnsi="Times New Roman" w:cs="Times New Roman"/>
                      <w:sz w:val="20"/>
                      <w:szCs w:val="20"/>
                    </w:rPr>
                  </w:pPr>
                  <w:r w:rsidRPr="009F20E4">
                    <w:rPr>
                      <w:rFonts w:ascii="Times New Roman" w:eastAsia="Calibri" w:hAnsi="Times New Roman" w:cs="Times New Roman"/>
                      <w:sz w:val="20"/>
                      <w:szCs w:val="20"/>
                    </w:rPr>
                    <w:t>434</w:t>
                  </w:r>
                </w:p>
              </w:tc>
              <w:tc>
                <w:tcPr>
                  <w:tcW w:w="1191" w:type="pct"/>
                  <w:vAlign w:val="center"/>
                </w:tcPr>
                <w:p w14:paraId="714F6F6D" w14:textId="77777777" w:rsidR="009F20E4" w:rsidRPr="009F20E4" w:rsidRDefault="009F20E4" w:rsidP="009F20E4">
                  <w:pPr>
                    <w:spacing w:after="0"/>
                    <w:jc w:val="center"/>
                    <w:rPr>
                      <w:rFonts w:ascii="Times New Roman" w:hAnsi="Times New Roman" w:cs="Times New Roman"/>
                      <w:sz w:val="20"/>
                      <w:szCs w:val="20"/>
                    </w:rPr>
                  </w:pPr>
                  <w:proofErr w:type="spellStart"/>
                  <w:r w:rsidRPr="009F20E4">
                    <w:rPr>
                      <w:rFonts w:ascii="Times New Roman" w:hAnsi="Times New Roman" w:cs="Times New Roman"/>
                      <w:sz w:val="20"/>
                      <w:szCs w:val="20"/>
                    </w:rPr>
                    <w:t>Engaged</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on</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any</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legal</w:t>
                  </w:r>
                  <w:proofErr w:type="spellEnd"/>
                  <w:r w:rsidRPr="009F20E4">
                    <w:rPr>
                      <w:rFonts w:ascii="Times New Roman" w:hAnsi="Times New Roman" w:cs="Times New Roman"/>
                      <w:sz w:val="20"/>
                      <w:szCs w:val="20"/>
                    </w:rPr>
                    <w:t xml:space="preserve"> </w:t>
                  </w:r>
                  <w:proofErr w:type="spellStart"/>
                  <w:r w:rsidRPr="009F20E4">
                    <w:rPr>
                      <w:rFonts w:ascii="Times New Roman" w:hAnsi="Times New Roman" w:cs="Times New Roman"/>
                      <w:sz w:val="20"/>
                      <w:szCs w:val="20"/>
                    </w:rPr>
                    <w:t>basis</w:t>
                  </w:r>
                  <w:proofErr w:type="spellEnd"/>
                </w:p>
              </w:tc>
            </w:tr>
          </w:tbl>
          <w:p w14:paraId="38E5BEB5" w14:textId="77777777" w:rsidR="009F20E4" w:rsidRPr="009F20E4" w:rsidRDefault="009F20E4" w:rsidP="009F20E4">
            <w:pPr>
              <w:rPr>
                <w:rFonts w:ascii="Times New Roman" w:hAnsi="Times New Roman" w:cs="Times New Roman"/>
                <w:sz w:val="20"/>
                <w:szCs w:val="20"/>
                <w:lang w:val="sr-Latn-CS"/>
              </w:rPr>
            </w:pPr>
          </w:p>
          <w:p w14:paraId="4B1B22E4" w14:textId="36D92A6E" w:rsidR="009F20E4" w:rsidRPr="009F20E4" w:rsidRDefault="009F20E4" w:rsidP="00A24781">
            <w:pPr>
              <w:tabs>
                <w:tab w:val="clear" w:pos="720"/>
              </w:tabs>
              <w:suppressAutoHyphens w:val="0"/>
              <w:spacing w:after="0"/>
              <w:ind w:left="686"/>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b/>
                <w:color w:val="auto"/>
                <w:sz w:val="24"/>
                <w:lang w:val="en-GB"/>
              </w:rPr>
              <w:t xml:space="preserve">Professional team for project implementation </w:t>
            </w:r>
            <w:r w:rsidRPr="009F20E4">
              <w:rPr>
                <w:rFonts w:ascii="Times New Roman" w:eastAsia="Times New Roman" w:hAnsi="Times New Roman" w:cs="Times New Roman"/>
                <w:color w:val="auto"/>
                <w:sz w:val="24"/>
                <w:lang w:val="en-GB"/>
              </w:rPr>
              <w:t>– the above listed persons will be hired for project implementation, full time, at least 40 hours a week. The same person cannot be hired for several positions</w:t>
            </w:r>
            <w:r w:rsidR="00A24781">
              <w:rPr>
                <w:rFonts w:ascii="Times New Roman" w:eastAsia="Times New Roman" w:hAnsi="Times New Roman" w:cs="Times New Roman"/>
                <w:color w:val="auto"/>
                <w:sz w:val="24"/>
                <w:lang w:val="en-GB"/>
              </w:rPr>
              <w:t xml:space="preserve"> or Lots.</w:t>
            </w:r>
          </w:p>
          <w:p w14:paraId="6B1674B2" w14:textId="77777777" w:rsidR="009F20E4" w:rsidRPr="009F20E4" w:rsidRDefault="009F20E4" w:rsidP="009F20E4">
            <w:pPr>
              <w:tabs>
                <w:tab w:val="clear" w:pos="720"/>
              </w:tabs>
              <w:suppressAutoHyphens w:val="0"/>
              <w:spacing w:after="0"/>
              <w:ind w:left="686"/>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color w:val="auto"/>
                <w:sz w:val="24"/>
                <w:lang w:val="en-GB"/>
              </w:rPr>
              <w:t xml:space="preserve">All listed persons must have at least 5 years of working experience as responsible contractor (in line with the table presented above). </w:t>
            </w:r>
          </w:p>
          <w:p w14:paraId="5787B1C5" w14:textId="77777777" w:rsidR="009F20E4" w:rsidRPr="009F20E4" w:rsidRDefault="009F20E4" w:rsidP="009F20E4">
            <w:pPr>
              <w:tabs>
                <w:tab w:val="clear" w:pos="720"/>
              </w:tabs>
              <w:suppressAutoHyphens w:val="0"/>
              <w:spacing w:after="0"/>
              <w:ind w:left="686"/>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color w:val="auto"/>
                <w:sz w:val="24"/>
                <w:lang w:val="en-GB"/>
              </w:rPr>
              <w:t>Consortium: Lead member of a joint venture/consortium must fulfil at least 50% of this qualification criterion.</w:t>
            </w:r>
          </w:p>
          <w:p w14:paraId="0BBBBBFE" w14:textId="79033D61" w:rsidR="009F20E4" w:rsidRPr="009F20E4" w:rsidRDefault="009F20E4" w:rsidP="009F20E4">
            <w:pPr>
              <w:tabs>
                <w:tab w:val="clear" w:pos="720"/>
              </w:tabs>
              <w:suppressAutoHyphens w:val="0"/>
              <w:spacing w:after="0"/>
              <w:ind w:left="686"/>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color w:val="auto"/>
                <w:sz w:val="24"/>
                <w:lang w:val="en-GB"/>
              </w:rPr>
              <w:t>In accordance with Form 4.6.1.2, the Tenderer must also provide for each team member copy of the license and Statement on engagement, while in addition to above stated, for the members of the professional team for whom employment is required as basis of engagement by the tender, it is mandatory to p</w:t>
            </w:r>
            <w:r w:rsidR="00BE6E6A">
              <w:rPr>
                <w:rFonts w:ascii="Times New Roman" w:eastAsia="Times New Roman" w:hAnsi="Times New Roman" w:cs="Times New Roman"/>
                <w:color w:val="auto"/>
                <w:sz w:val="24"/>
                <w:lang w:val="en-GB"/>
              </w:rPr>
              <w:t xml:space="preserve">rovide the excerpt/certificate </w:t>
            </w:r>
            <w:r w:rsidRPr="009F20E4">
              <w:rPr>
                <w:rFonts w:ascii="Times New Roman" w:eastAsia="Times New Roman" w:hAnsi="Times New Roman" w:cs="Times New Roman"/>
                <w:color w:val="auto"/>
                <w:sz w:val="24"/>
                <w:lang w:val="en-GB"/>
              </w:rPr>
              <w:t>from the Central Registry of mandatory social insurance, for the month preceding the month of publication of the Tender Notice. The Contracting Authority reserves the right to request additional documentary evidence.</w:t>
            </w:r>
          </w:p>
          <w:p w14:paraId="3C27C88E" w14:textId="77777777" w:rsidR="009F20E4" w:rsidRPr="009F20E4" w:rsidRDefault="009F20E4" w:rsidP="009F20E4">
            <w:pPr>
              <w:tabs>
                <w:tab w:val="clear" w:pos="720"/>
              </w:tabs>
              <w:suppressAutoHyphens w:val="0"/>
              <w:spacing w:after="0"/>
              <w:ind w:left="686"/>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color w:val="auto"/>
                <w:sz w:val="24"/>
                <w:lang w:val="en-GB"/>
              </w:rPr>
              <w:t>All hired persons must hold licenses issued by relevant institutions of the Republic of Serbia (Serbian Chamber of Engineers), during the contracting period. In case that successful tenderer comes from a foreign country, or if the tenderer from the Contracting Authority’s country hires foreign citizens, they must ensure that persons holding relevant licenses for contracting Works are in compliance with regulations of the Republic of Serbia.</w:t>
            </w:r>
          </w:p>
          <w:p w14:paraId="72D78C0B" w14:textId="5D45BBC9" w:rsidR="00940058" w:rsidRPr="009F20E4" w:rsidRDefault="009F20E4" w:rsidP="009F20E4">
            <w:pPr>
              <w:ind w:left="686"/>
              <w:jc w:val="both"/>
              <w:rPr>
                <w:rFonts w:ascii="Times New Roman" w:hAnsi="Times New Roman" w:cs="Times New Roman"/>
                <w:sz w:val="24"/>
                <w:szCs w:val="24"/>
              </w:rPr>
            </w:pPr>
            <w:r w:rsidRPr="009F20E4">
              <w:rPr>
                <w:rFonts w:ascii="Times New Roman" w:eastAsia="Times New Roman" w:hAnsi="Times New Roman" w:cs="Times New Roman"/>
                <w:color w:val="auto"/>
                <w:sz w:val="24"/>
                <w:lang w:val="en-GB"/>
              </w:rPr>
              <w:t>Tenderer is obligated to ensure all necessary human resources, workers and qualified persons needed for construction of facilities, in compliance with regulations of the Republic of Serbia, regardless of requirements given in this tender dossier.</w:t>
            </w:r>
          </w:p>
          <w:p w14:paraId="37E3C669" w14:textId="4191BE70" w:rsidR="008C65CC" w:rsidRPr="003A3B73" w:rsidRDefault="008C65CC" w:rsidP="008C65CC">
            <w:pPr>
              <w:tabs>
                <w:tab w:val="clear" w:pos="720"/>
              </w:tabs>
              <w:suppressAutoHyphens w:val="0"/>
              <w:spacing w:after="0"/>
              <w:jc w:val="both"/>
              <w:rPr>
                <w:rFonts w:ascii="Times New Roman" w:eastAsia="Calibri" w:hAnsi="Times New Roman" w:cs="Times New Roman"/>
                <w:color w:val="auto"/>
                <w:szCs w:val="20"/>
                <w:lang w:val="en-GB"/>
              </w:rPr>
            </w:pPr>
          </w:p>
          <w:p w14:paraId="1D6F31A7" w14:textId="630AF149" w:rsidR="0007092D" w:rsidRPr="009F20E4" w:rsidRDefault="0007092D" w:rsidP="009F20E4">
            <w:pPr>
              <w:tabs>
                <w:tab w:val="clear" w:pos="720"/>
              </w:tabs>
              <w:suppressAutoHyphens w:val="0"/>
              <w:spacing w:after="120" w:line="240" w:lineRule="auto"/>
              <w:jc w:val="both"/>
              <w:rPr>
                <w:rFonts w:ascii="Times New Roman" w:hAnsi="Times New Roman" w:cs="Times New Roman"/>
                <w:sz w:val="24"/>
                <w:szCs w:val="24"/>
              </w:rPr>
            </w:pPr>
            <w:proofErr w:type="spellStart"/>
            <w:r w:rsidRPr="009F20E4">
              <w:rPr>
                <w:rFonts w:ascii="Times New Roman" w:hAnsi="Times New Roman" w:cs="Times New Roman"/>
                <w:b/>
                <w:sz w:val="24"/>
                <w:szCs w:val="24"/>
              </w:rPr>
              <w:t>Technical</w:t>
            </w:r>
            <w:proofErr w:type="spellEnd"/>
            <w:r w:rsidRPr="009F20E4">
              <w:rPr>
                <w:rFonts w:ascii="Times New Roman" w:hAnsi="Times New Roman" w:cs="Times New Roman"/>
                <w:b/>
                <w:sz w:val="24"/>
                <w:szCs w:val="24"/>
              </w:rPr>
              <w:t xml:space="preserve"> </w:t>
            </w:r>
            <w:proofErr w:type="spellStart"/>
            <w:r w:rsidRPr="009F20E4">
              <w:rPr>
                <w:rFonts w:ascii="Times New Roman" w:hAnsi="Times New Roman" w:cs="Times New Roman"/>
                <w:b/>
                <w:sz w:val="24"/>
                <w:szCs w:val="24"/>
              </w:rPr>
              <w:t>capacity</w:t>
            </w:r>
            <w:proofErr w:type="spellEnd"/>
            <w:r w:rsidRPr="009F20E4">
              <w:rPr>
                <w:rFonts w:ascii="Times New Roman" w:hAnsi="Times New Roman" w:cs="Times New Roman"/>
                <w:b/>
                <w:sz w:val="24"/>
                <w:szCs w:val="24"/>
              </w:rPr>
              <w:t xml:space="preserve">. </w:t>
            </w:r>
          </w:p>
          <w:p w14:paraId="55FE62E0" w14:textId="6152BA80" w:rsidR="009F20E4" w:rsidRPr="009F20E4" w:rsidRDefault="0007092D" w:rsidP="000359A7">
            <w:pPr>
              <w:pStyle w:val="ListParagraph"/>
              <w:numPr>
                <w:ilvl w:val="0"/>
                <w:numId w:val="38"/>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b/>
                <w:color w:val="auto"/>
                <w:sz w:val="24"/>
                <w:lang w:val="en-GB"/>
              </w:rPr>
              <w:t xml:space="preserve">Contractor experience. </w:t>
            </w:r>
            <w:r w:rsidR="009F20E4" w:rsidRPr="009F20E4">
              <w:rPr>
                <w:rFonts w:ascii="Times New Roman" w:eastAsia="Times New Roman" w:hAnsi="Times New Roman" w:cs="Times New Roman"/>
                <w:color w:val="auto"/>
                <w:sz w:val="24"/>
                <w:lang w:val="en-GB"/>
              </w:rPr>
              <w:t>Tenderer must prove, independently or as a Lead Member of a joint venture/consortium, that in the period from 1 January 2015 till the date of the Public Call for submission of tenders, has completed* works on construction, reconstruction or upgrading of building structures</w:t>
            </w:r>
            <w:r w:rsidR="00321E2E">
              <w:rPr>
                <w:rFonts w:ascii="Times New Roman" w:eastAsia="Times New Roman" w:hAnsi="Times New Roman" w:cs="Times New Roman"/>
                <w:color w:val="auto"/>
                <w:sz w:val="24"/>
                <w:lang w:val="en-GB"/>
              </w:rPr>
              <w:t xml:space="preserve"> </w:t>
            </w:r>
            <w:r w:rsidR="000359A7" w:rsidRPr="000359A7">
              <w:rPr>
                <w:rFonts w:ascii="Times New Roman" w:eastAsia="Times New Roman" w:hAnsi="Times New Roman" w:cs="Times New Roman"/>
                <w:color w:val="auto"/>
                <w:sz w:val="24"/>
                <w:lang w:val="en-GB"/>
              </w:rPr>
              <w:t>(</w:t>
            </w:r>
            <w:r w:rsidR="000359A7">
              <w:rPr>
                <w:rFonts w:ascii="Times New Roman" w:eastAsia="Times New Roman" w:hAnsi="Times New Roman" w:cs="Times New Roman"/>
                <w:color w:val="auto"/>
                <w:sz w:val="24"/>
                <w:lang w:val="en-GB"/>
              </w:rPr>
              <w:t>in accordance with the table below)</w:t>
            </w:r>
            <w:r w:rsidR="000359A7" w:rsidRPr="000359A7">
              <w:rPr>
                <w:rFonts w:ascii="Times New Roman" w:eastAsia="Times New Roman" w:hAnsi="Times New Roman" w:cs="Times New Roman"/>
                <w:color w:val="auto"/>
                <w:sz w:val="24"/>
                <w:lang w:val="en-GB"/>
              </w:rPr>
              <w:t xml:space="preserve"> </w:t>
            </w:r>
            <w:r w:rsidR="009F20E4" w:rsidRPr="009F20E4">
              <w:rPr>
                <w:rFonts w:ascii="Times New Roman" w:eastAsia="Times New Roman" w:hAnsi="Times New Roman" w:cs="Times New Roman"/>
                <w:color w:val="auto"/>
                <w:sz w:val="24"/>
                <w:lang w:val="en-GB"/>
              </w:rPr>
              <w:t xml:space="preserve">**, for not more than 3 buildings: </w:t>
            </w:r>
          </w:p>
          <w:p w14:paraId="1B240405" w14:textId="061B7182" w:rsidR="009F20E4" w:rsidRPr="009F20E4" w:rsidRDefault="009F20E4" w:rsidP="009F20E4">
            <w:pPr>
              <w:pStyle w:val="ListParagraph"/>
              <w:numPr>
                <w:ilvl w:val="0"/>
                <w:numId w:val="39"/>
              </w:numPr>
              <w:tabs>
                <w:tab w:val="clear" w:pos="720"/>
              </w:tabs>
              <w:suppressAutoHyphens w:val="0"/>
              <w:spacing w:after="0"/>
              <w:ind w:left="1111"/>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color w:val="auto"/>
                <w:sz w:val="24"/>
                <w:lang w:val="en-GB"/>
              </w:rPr>
              <w:t>Lot 1: Building/buildings of minimal total gross area of 1</w:t>
            </w:r>
            <w:r w:rsidR="00A24781">
              <w:rPr>
                <w:rFonts w:ascii="Times New Roman" w:eastAsia="Times New Roman" w:hAnsi="Times New Roman" w:cs="Times New Roman"/>
                <w:color w:val="auto"/>
                <w:sz w:val="24"/>
                <w:lang w:val="en-GB"/>
              </w:rPr>
              <w:t>3</w:t>
            </w:r>
            <w:r w:rsidRPr="009F20E4">
              <w:rPr>
                <w:rFonts w:ascii="Times New Roman" w:eastAsia="Times New Roman" w:hAnsi="Times New Roman" w:cs="Times New Roman"/>
                <w:color w:val="auto"/>
                <w:sz w:val="24"/>
                <w:lang w:val="en-GB"/>
              </w:rPr>
              <w:t>.000 m2.</w:t>
            </w:r>
          </w:p>
          <w:p w14:paraId="4FBAE2B9" w14:textId="18B0E50F" w:rsidR="009F20E4" w:rsidRPr="009F20E4" w:rsidRDefault="009F20E4" w:rsidP="009F20E4">
            <w:pPr>
              <w:pStyle w:val="ListParagraph"/>
              <w:numPr>
                <w:ilvl w:val="0"/>
                <w:numId w:val="39"/>
              </w:numPr>
              <w:tabs>
                <w:tab w:val="clear" w:pos="720"/>
              </w:tabs>
              <w:suppressAutoHyphens w:val="0"/>
              <w:spacing w:after="0"/>
              <w:ind w:left="1111"/>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color w:val="auto"/>
                <w:sz w:val="24"/>
                <w:lang w:val="en-GB"/>
              </w:rPr>
              <w:t>Lot 2: Building/buildings of minimal total gross area of 5.</w:t>
            </w:r>
            <w:r w:rsidR="00A24781">
              <w:rPr>
                <w:rFonts w:ascii="Times New Roman" w:eastAsia="Times New Roman" w:hAnsi="Times New Roman" w:cs="Times New Roman"/>
                <w:color w:val="auto"/>
                <w:sz w:val="24"/>
                <w:lang w:val="en-GB"/>
              </w:rPr>
              <w:t>0</w:t>
            </w:r>
            <w:r w:rsidRPr="009F20E4">
              <w:rPr>
                <w:rFonts w:ascii="Times New Roman" w:eastAsia="Times New Roman" w:hAnsi="Times New Roman" w:cs="Times New Roman"/>
                <w:color w:val="auto"/>
                <w:sz w:val="24"/>
                <w:lang w:val="en-GB"/>
              </w:rPr>
              <w:t>00 m2.</w:t>
            </w:r>
          </w:p>
          <w:p w14:paraId="47283BB2" w14:textId="56FBA9FF" w:rsidR="009F20E4" w:rsidRPr="009F20E4" w:rsidRDefault="009F20E4" w:rsidP="009F20E4">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color w:val="auto"/>
                <w:sz w:val="24"/>
                <w:lang w:val="en-GB"/>
              </w:rPr>
              <w:t xml:space="preserve">Tenderer is obligated to provide the Investor’s certificate for each and every constructed building on Form 4.6.4.2. </w:t>
            </w:r>
            <w:proofErr w:type="gramStart"/>
            <w:r w:rsidRPr="009F20E4">
              <w:rPr>
                <w:rFonts w:ascii="Times New Roman" w:eastAsia="Times New Roman" w:hAnsi="Times New Roman" w:cs="Times New Roman"/>
                <w:color w:val="auto"/>
                <w:sz w:val="24"/>
                <w:lang w:val="en-GB"/>
              </w:rPr>
              <w:t>and</w:t>
            </w:r>
            <w:proofErr w:type="gramEnd"/>
            <w:r w:rsidRPr="009F20E4">
              <w:rPr>
                <w:rFonts w:ascii="Times New Roman" w:eastAsia="Times New Roman" w:hAnsi="Times New Roman" w:cs="Times New Roman"/>
                <w:color w:val="auto"/>
                <w:sz w:val="24"/>
                <w:lang w:val="en-GB"/>
              </w:rPr>
              <w:t xml:space="preserve"> a valid building permit. The Contracting Authority reserves the right to request additional documentary evidence.</w:t>
            </w:r>
          </w:p>
          <w:p w14:paraId="6D86FE6B" w14:textId="77777777" w:rsidR="009F20E4" w:rsidRPr="009F20E4" w:rsidRDefault="009F20E4" w:rsidP="009F20E4">
            <w:pPr>
              <w:tabs>
                <w:tab w:val="clear" w:pos="720"/>
              </w:tabs>
              <w:suppressAutoHyphens w:val="0"/>
              <w:spacing w:after="0"/>
              <w:ind w:left="686"/>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color w:val="auto"/>
                <w:sz w:val="24"/>
                <w:lang w:val="en-GB"/>
              </w:rPr>
              <w:t>Consortium: Lead member of a joint venture/consortium must fulfil at least 50% of this qualification criterion.</w:t>
            </w:r>
          </w:p>
          <w:p w14:paraId="6EDB3825" w14:textId="77777777" w:rsidR="009F20E4" w:rsidRPr="009F20E4" w:rsidRDefault="009F20E4" w:rsidP="009F20E4">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6B05C538" w14:textId="77777777" w:rsidR="009F20E4" w:rsidRPr="009F20E4" w:rsidRDefault="009F20E4" w:rsidP="009F20E4">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color w:val="auto"/>
                <w:sz w:val="24"/>
                <w:lang w:val="en-GB"/>
              </w:rPr>
              <w:t>* Only completed objects will be considered as reference objects.</w:t>
            </w:r>
          </w:p>
          <w:p w14:paraId="576BF732" w14:textId="7E100B3A" w:rsidR="009F20E4" w:rsidRDefault="009F20E4" w:rsidP="009F20E4">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color w:val="auto"/>
                <w:sz w:val="24"/>
                <w:lang w:val="en-GB"/>
              </w:rPr>
              <w:t>**Building structures according to table defined in the Rulebook on classification of buildings, Official Gazette of RS, no. 22/2015</w:t>
            </w:r>
          </w:p>
          <w:p w14:paraId="488BB063" w14:textId="77777777" w:rsidR="009F20E4" w:rsidRPr="009F20E4" w:rsidRDefault="009F20E4" w:rsidP="009F20E4">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30"/>
              <w:gridCol w:w="1943"/>
              <w:gridCol w:w="2009"/>
            </w:tblGrid>
            <w:tr w:rsidR="00F56581" w:rsidRPr="007F75B5" w14:paraId="0FFF7D48" w14:textId="77777777" w:rsidTr="00321E2E">
              <w:trPr>
                <w:tblHeader/>
                <w:tblCellSpacing w:w="15" w:type="dxa"/>
              </w:trPr>
              <w:tc>
                <w:tcPr>
                  <w:tcW w:w="2697" w:type="pct"/>
                  <w:shd w:val="clear" w:color="auto" w:fill="F2F2F2" w:themeFill="background1" w:themeFillShade="F2"/>
                  <w:tcMar>
                    <w:top w:w="15" w:type="dxa"/>
                    <w:left w:w="15" w:type="dxa"/>
                    <w:bottom w:w="15" w:type="dxa"/>
                    <w:right w:w="15" w:type="dxa"/>
                  </w:tcMar>
                  <w:vAlign w:val="center"/>
                  <w:hideMark/>
                </w:tcPr>
                <w:p w14:paraId="38DC16B0" w14:textId="618B1879" w:rsidR="00F56581" w:rsidRPr="00F56581" w:rsidRDefault="00F56581" w:rsidP="00F56581">
                  <w:pPr>
                    <w:snapToGrid w:val="0"/>
                    <w:spacing w:before="48" w:after="48"/>
                    <w:ind w:left="111"/>
                    <w:rPr>
                      <w:rFonts w:ascii="Times New Roman" w:eastAsia="Calibri" w:hAnsi="Times New Roman" w:cs="Times New Roman"/>
                      <w:b/>
                      <w:sz w:val="20"/>
                      <w:szCs w:val="20"/>
                    </w:rPr>
                  </w:pPr>
                  <w:proofErr w:type="spellStart"/>
                  <w:r w:rsidRPr="00F56581">
                    <w:rPr>
                      <w:rFonts w:ascii="Times New Roman" w:eastAsia="Calibri" w:hAnsi="Times New Roman" w:cs="Times New Roman"/>
                      <w:b/>
                      <w:sz w:val="20"/>
                      <w:szCs w:val="20"/>
                    </w:rPr>
                    <w:t>Title</w:t>
                  </w:r>
                  <w:proofErr w:type="spellEnd"/>
                </w:p>
              </w:tc>
              <w:tc>
                <w:tcPr>
                  <w:tcW w:w="1101" w:type="pct"/>
                  <w:shd w:val="clear" w:color="auto" w:fill="F2F2F2" w:themeFill="background1" w:themeFillShade="F2"/>
                  <w:tcMar>
                    <w:top w:w="15" w:type="dxa"/>
                    <w:left w:w="15" w:type="dxa"/>
                    <w:bottom w:w="15" w:type="dxa"/>
                    <w:right w:w="15" w:type="dxa"/>
                  </w:tcMar>
                  <w:vAlign w:val="center"/>
                  <w:hideMark/>
                </w:tcPr>
                <w:p w14:paraId="6E5F3E84" w14:textId="77777777" w:rsidR="00F56581" w:rsidRPr="00F56581" w:rsidRDefault="00F56581" w:rsidP="009F20E4">
                  <w:pPr>
                    <w:snapToGrid w:val="0"/>
                    <w:spacing w:before="48" w:after="48"/>
                    <w:rPr>
                      <w:rFonts w:ascii="Times New Roman" w:eastAsia="Calibri" w:hAnsi="Times New Roman" w:cs="Times New Roman"/>
                      <w:b/>
                      <w:sz w:val="20"/>
                      <w:szCs w:val="20"/>
                    </w:rPr>
                  </w:pPr>
                  <w:proofErr w:type="spellStart"/>
                  <w:r w:rsidRPr="00F56581">
                    <w:rPr>
                      <w:rFonts w:ascii="Times New Roman" w:hAnsi="Times New Roman" w:cs="Times New Roman"/>
                      <w:b/>
                      <w:sz w:val="20"/>
                      <w:szCs w:val="20"/>
                    </w:rPr>
                    <w:t>Classification</w:t>
                  </w:r>
                  <w:proofErr w:type="spellEnd"/>
                  <w:r w:rsidRPr="00F56581">
                    <w:rPr>
                      <w:rFonts w:ascii="Times New Roman" w:hAnsi="Times New Roman" w:cs="Times New Roman"/>
                      <w:b/>
                      <w:sz w:val="20"/>
                      <w:szCs w:val="20"/>
                    </w:rPr>
                    <w:t xml:space="preserve"> </w:t>
                  </w:r>
                  <w:proofErr w:type="spellStart"/>
                  <w:r w:rsidRPr="00F56581">
                    <w:rPr>
                      <w:rFonts w:ascii="Times New Roman" w:hAnsi="Times New Roman" w:cs="Times New Roman"/>
                      <w:b/>
                      <w:sz w:val="20"/>
                      <w:szCs w:val="20"/>
                    </w:rPr>
                    <w:t>number</w:t>
                  </w:r>
                  <w:proofErr w:type="spellEnd"/>
                </w:p>
              </w:tc>
              <w:tc>
                <w:tcPr>
                  <w:tcW w:w="1130" w:type="pct"/>
                  <w:shd w:val="clear" w:color="auto" w:fill="F2F2F2" w:themeFill="background1" w:themeFillShade="F2"/>
                  <w:tcMar>
                    <w:top w:w="15" w:type="dxa"/>
                    <w:left w:w="15" w:type="dxa"/>
                    <w:bottom w:w="15" w:type="dxa"/>
                    <w:right w:w="15" w:type="dxa"/>
                  </w:tcMar>
                  <w:vAlign w:val="center"/>
                  <w:hideMark/>
                </w:tcPr>
                <w:p w14:paraId="56EE5353" w14:textId="77777777" w:rsidR="00F56581" w:rsidRPr="00F56581" w:rsidRDefault="00F56581" w:rsidP="009F20E4">
                  <w:pPr>
                    <w:snapToGrid w:val="0"/>
                    <w:spacing w:before="48" w:after="48"/>
                    <w:rPr>
                      <w:rFonts w:ascii="Times New Roman" w:eastAsia="Calibri" w:hAnsi="Times New Roman" w:cs="Times New Roman"/>
                      <w:b/>
                      <w:sz w:val="20"/>
                      <w:szCs w:val="20"/>
                    </w:rPr>
                  </w:pPr>
                  <w:proofErr w:type="spellStart"/>
                  <w:r w:rsidRPr="00F56581">
                    <w:rPr>
                      <w:rFonts w:ascii="Times New Roman" w:hAnsi="Times New Roman" w:cs="Times New Roman"/>
                      <w:b/>
                      <w:sz w:val="20"/>
                      <w:szCs w:val="20"/>
                    </w:rPr>
                    <w:t>Category</w:t>
                  </w:r>
                  <w:proofErr w:type="spellEnd"/>
                </w:p>
              </w:tc>
            </w:tr>
            <w:tr w:rsidR="009F20E4" w:rsidRPr="007F75B5" w14:paraId="241FB895" w14:textId="77777777" w:rsidTr="00321E2E">
              <w:trPr>
                <w:tblCellSpacing w:w="15" w:type="dxa"/>
              </w:trPr>
              <w:tc>
                <w:tcPr>
                  <w:tcW w:w="2697" w:type="pct"/>
                  <w:tcMar>
                    <w:top w:w="15" w:type="dxa"/>
                    <w:left w:w="15" w:type="dxa"/>
                    <w:bottom w:w="15" w:type="dxa"/>
                    <w:right w:w="15" w:type="dxa"/>
                  </w:tcMar>
                  <w:vAlign w:val="center"/>
                  <w:hideMark/>
                </w:tcPr>
                <w:p w14:paraId="5775FCBC" w14:textId="77777777" w:rsidR="009F20E4" w:rsidRPr="007F75B5" w:rsidRDefault="009F20E4" w:rsidP="009F20E4">
                  <w:pPr>
                    <w:spacing w:before="48" w:after="48"/>
                    <w:ind w:left="82"/>
                    <w:rPr>
                      <w:rFonts w:ascii="Times New Roman" w:hAnsi="Times New Roman" w:cs="Times New Roman"/>
                      <w:sz w:val="20"/>
                      <w:szCs w:val="20"/>
                    </w:rPr>
                  </w:pPr>
                  <w:r w:rsidRPr="007F75B5">
                    <w:rPr>
                      <w:rFonts w:ascii="Times New Roman" w:hAnsi="Times New Roman" w:cs="Times New Roman"/>
                      <w:b/>
                      <w:bCs/>
                      <w:sz w:val="20"/>
                      <w:szCs w:val="20"/>
                    </w:rPr>
                    <w:t>BUILDINGS</w:t>
                  </w:r>
                </w:p>
              </w:tc>
              <w:tc>
                <w:tcPr>
                  <w:tcW w:w="1101" w:type="pct"/>
                  <w:tcMar>
                    <w:top w:w="15" w:type="dxa"/>
                    <w:left w:w="15" w:type="dxa"/>
                    <w:bottom w:w="15" w:type="dxa"/>
                    <w:right w:w="15" w:type="dxa"/>
                  </w:tcMar>
                  <w:vAlign w:val="center"/>
                </w:tcPr>
                <w:p w14:paraId="646DA05F" w14:textId="5020EA39" w:rsidR="009F20E4" w:rsidRPr="007F75B5" w:rsidRDefault="009F20E4" w:rsidP="009F20E4">
                  <w:pPr>
                    <w:snapToGrid w:val="0"/>
                    <w:spacing w:before="48" w:after="48"/>
                    <w:rPr>
                      <w:rFonts w:ascii="Times New Roman" w:eastAsia="Calibri" w:hAnsi="Times New Roman" w:cs="Times New Roman"/>
                      <w:sz w:val="20"/>
                      <w:szCs w:val="20"/>
                    </w:rPr>
                  </w:pPr>
                </w:p>
              </w:tc>
              <w:tc>
                <w:tcPr>
                  <w:tcW w:w="1130" w:type="pct"/>
                  <w:tcMar>
                    <w:top w:w="15" w:type="dxa"/>
                    <w:left w:w="15" w:type="dxa"/>
                    <w:bottom w:w="15" w:type="dxa"/>
                    <w:right w:w="15" w:type="dxa"/>
                  </w:tcMar>
                  <w:vAlign w:val="center"/>
                  <w:hideMark/>
                </w:tcPr>
                <w:p w14:paraId="5CAE41D0" w14:textId="1F17EB4B" w:rsidR="009F20E4" w:rsidRPr="007F75B5" w:rsidRDefault="009F20E4" w:rsidP="009F20E4">
                  <w:pPr>
                    <w:snapToGrid w:val="0"/>
                    <w:spacing w:after="0"/>
                    <w:rPr>
                      <w:rFonts w:ascii="Times New Roman" w:eastAsia="Calibri" w:hAnsi="Times New Roman" w:cs="Times New Roman"/>
                      <w:sz w:val="20"/>
                      <w:szCs w:val="20"/>
                    </w:rPr>
                  </w:pPr>
                </w:p>
              </w:tc>
            </w:tr>
            <w:tr w:rsidR="009F20E4" w:rsidRPr="007F75B5" w14:paraId="2ADB3AE2" w14:textId="77777777" w:rsidTr="00321E2E">
              <w:trPr>
                <w:tblCellSpacing w:w="15" w:type="dxa"/>
              </w:trPr>
              <w:tc>
                <w:tcPr>
                  <w:tcW w:w="2697" w:type="pct"/>
                  <w:tcMar>
                    <w:top w:w="15" w:type="dxa"/>
                    <w:left w:w="15" w:type="dxa"/>
                    <w:bottom w:w="15" w:type="dxa"/>
                    <w:right w:w="15" w:type="dxa"/>
                  </w:tcMar>
                  <w:vAlign w:val="center"/>
                  <w:hideMark/>
                </w:tcPr>
                <w:p w14:paraId="6FF8F4CF" w14:textId="77777777" w:rsidR="009F20E4" w:rsidRPr="007F75B5" w:rsidRDefault="009F20E4" w:rsidP="009F20E4">
                  <w:pPr>
                    <w:spacing w:before="48" w:after="48"/>
                    <w:ind w:left="82"/>
                    <w:rPr>
                      <w:rFonts w:ascii="Times New Roman" w:hAnsi="Times New Roman" w:cs="Times New Roman"/>
                      <w:sz w:val="20"/>
                      <w:szCs w:val="20"/>
                    </w:rPr>
                  </w:pPr>
                  <w:r w:rsidRPr="007F75B5">
                    <w:rPr>
                      <w:rFonts w:ascii="Times New Roman" w:hAnsi="Times New Roman" w:cs="Times New Roman"/>
                      <w:b/>
                      <w:bCs/>
                      <w:sz w:val="20"/>
                      <w:szCs w:val="20"/>
                    </w:rPr>
                    <w:t>APARTMENT BUILDINGS</w:t>
                  </w:r>
                </w:p>
              </w:tc>
              <w:tc>
                <w:tcPr>
                  <w:tcW w:w="1101" w:type="pct"/>
                  <w:tcMar>
                    <w:top w:w="15" w:type="dxa"/>
                    <w:left w:w="15" w:type="dxa"/>
                    <w:bottom w:w="15" w:type="dxa"/>
                    <w:right w:w="15" w:type="dxa"/>
                  </w:tcMar>
                  <w:vAlign w:val="center"/>
                </w:tcPr>
                <w:p w14:paraId="3CD48A62" w14:textId="19C67D2D" w:rsidR="009F20E4" w:rsidRPr="007F75B5" w:rsidRDefault="009F20E4" w:rsidP="009F20E4">
                  <w:pPr>
                    <w:snapToGrid w:val="0"/>
                    <w:spacing w:before="48" w:after="48"/>
                    <w:rPr>
                      <w:rFonts w:ascii="Times New Roman" w:eastAsia="Calibri" w:hAnsi="Times New Roman" w:cs="Times New Roman"/>
                      <w:sz w:val="20"/>
                      <w:szCs w:val="20"/>
                    </w:rPr>
                  </w:pPr>
                </w:p>
              </w:tc>
              <w:tc>
                <w:tcPr>
                  <w:tcW w:w="1130" w:type="pct"/>
                  <w:tcMar>
                    <w:top w:w="15" w:type="dxa"/>
                    <w:left w:w="15" w:type="dxa"/>
                    <w:bottom w:w="15" w:type="dxa"/>
                    <w:right w:w="15" w:type="dxa"/>
                  </w:tcMar>
                  <w:hideMark/>
                </w:tcPr>
                <w:p w14:paraId="40CD9BB5" w14:textId="2AA99620" w:rsidR="009F20E4" w:rsidRPr="007F75B5" w:rsidRDefault="009F20E4" w:rsidP="009F20E4">
                  <w:pPr>
                    <w:rPr>
                      <w:rFonts w:ascii="Times New Roman" w:hAnsi="Times New Roman" w:cs="Times New Roman"/>
                      <w:sz w:val="20"/>
                      <w:szCs w:val="20"/>
                    </w:rPr>
                  </w:pPr>
                </w:p>
              </w:tc>
            </w:tr>
            <w:tr w:rsidR="009F20E4" w:rsidRPr="007F75B5" w14:paraId="3995C644" w14:textId="77777777" w:rsidTr="00321E2E">
              <w:trPr>
                <w:tblCellSpacing w:w="15" w:type="dxa"/>
              </w:trPr>
              <w:tc>
                <w:tcPr>
                  <w:tcW w:w="2697" w:type="pct"/>
                  <w:tcMar>
                    <w:top w:w="15" w:type="dxa"/>
                    <w:left w:w="15" w:type="dxa"/>
                    <w:bottom w:w="15" w:type="dxa"/>
                    <w:right w:w="15" w:type="dxa"/>
                  </w:tcMar>
                  <w:vAlign w:val="center"/>
                  <w:hideMark/>
                </w:tcPr>
                <w:p w14:paraId="376EB88F" w14:textId="77777777" w:rsidR="009F20E4" w:rsidRPr="007F75B5" w:rsidRDefault="009F20E4" w:rsidP="009F20E4">
                  <w:pPr>
                    <w:spacing w:before="48" w:after="48"/>
                    <w:ind w:left="82"/>
                    <w:rPr>
                      <w:rFonts w:ascii="Times New Roman" w:hAnsi="Times New Roman" w:cs="Times New Roman"/>
                      <w:sz w:val="20"/>
                      <w:szCs w:val="20"/>
                    </w:rPr>
                  </w:pPr>
                  <w:proofErr w:type="spellStart"/>
                  <w:r w:rsidRPr="007F75B5">
                    <w:rPr>
                      <w:rFonts w:ascii="Times New Roman" w:hAnsi="Times New Roman" w:cs="Times New Roman"/>
                      <w:b/>
                      <w:bCs/>
                      <w:sz w:val="20"/>
                      <w:szCs w:val="20"/>
                    </w:rPr>
                    <w:t>Residential</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buildings</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with</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one</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apartment</w:t>
                  </w:r>
                  <w:proofErr w:type="spellEnd"/>
                </w:p>
              </w:tc>
              <w:tc>
                <w:tcPr>
                  <w:tcW w:w="1101" w:type="pct"/>
                  <w:tcMar>
                    <w:top w:w="15" w:type="dxa"/>
                    <w:left w:w="15" w:type="dxa"/>
                    <w:bottom w:w="15" w:type="dxa"/>
                    <w:right w:w="15" w:type="dxa"/>
                  </w:tcMar>
                  <w:vAlign w:val="center"/>
                  <w:hideMark/>
                </w:tcPr>
                <w:p w14:paraId="2DAB123A" w14:textId="77777777" w:rsidR="009F20E4" w:rsidRPr="007F75B5" w:rsidRDefault="009F20E4" w:rsidP="009F20E4">
                  <w:pPr>
                    <w:snapToGrid w:val="0"/>
                    <w:spacing w:before="48" w:after="48"/>
                    <w:rPr>
                      <w:rFonts w:ascii="Times New Roman" w:eastAsia="Calibri" w:hAnsi="Times New Roman" w:cs="Times New Roman"/>
                      <w:sz w:val="20"/>
                      <w:szCs w:val="20"/>
                    </w:rPr>
                  </w:pPr>
                  <w:r w:rsidRPr="007F75B5">
                    <w:rPr>
                      <w:rFonts w:ascii="Times New Roman" w:eastAsia="Calibri" w:hAnsi="Times New Roman" w:cs="Times New Roman"/>
                      <w:b/>
                      <w:bCs/>
                      <w:sz w:val="20"/>
                      <w:szCs w:val="20"/>
                    </w:rPr>
                    <w:t>111</w:t>
                  </w:r>
                </w:p>
              </w:tc>
              <w:tc>
                <w:tcPr>
                  <w:tcW w:w="1130" w:type="pct"/>
                  <w:tcMar>
                    <w:top w:w="15" w:type="dxa"/>
                    <w:left w:w="15" w:type="dxa"/>
                    <w:bottom w:w="15" w:type="dxa"/>
                    <w:right w:w="15" w:type="dxa"/>
                  </w:tcMar>
                  <w:hideMark/>
                </w:tcPr>
                <w:p w14:paraId="16E71177" w14:textId="47B5CE16" w:rsidR="009F20E4" w:rsidRPr="007F75B5" w:rsidRDefault="007F75B5" w:rsidP="006C2EF3">
                  <w:pPr>
                    <w:jc w:val="center"/>
                    <w:rPr>
                      <w:rFonts w:ascii="Times New Roman" w:hAnsi="Times New Roman" w:cs="Times New Roman"/>
                      <w:sz w:val="20"/>
                      <w:szCs w:val="20"/>
                    </w:rPr>
                  </w:pPr>
                  <w:proofErr w:type="spellStart"/>
                  <w:r w:rsidRPr="007F75B5">
                    <w:rPr>
                      <w:rFonts w:ascii="Times New Roman" w:hAnsi="Times New Roman" w:cs="Times New Roman"/>
                      <w:sz w:val="20"/>
                      <w:szCs w:val="20"/>
                    </w:rPr>
                    <w:t>all</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accompanying</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classif</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numbers</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other</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than</w:t>
                  </w:r>
                  <w:proofErr w:type="spellEnd"/>
                  <w:r w:rsidRPr="007F75B5">
                    <w:rPr>
                      <w:rFonts w:ascii="Times New Roman" w:hAnsi="Times New Roman" w:cs="Times New Roman"/>
                      <w:sz w:val="20"/>
                      <w:szCs w:val="20"/>
                    </w:rPr>
                    <w:t xml:space="preserve"> 111011</w:t>
                  </w:r>
                </w:p>
              </w:tc>
            </w:tr>
            <w:tr w:rsidR="009F20E4" w:rsidRPr="007F75B5" w14:paraId="21A36704" w14:textId="77777777" w:rsidTr="00321E2E">
              <w:trPr>
                <w:tblCellSpacing w:w="15" w:type="dxa"/>
              </w:trPr>
              <w:tc>
                <w:tcPr>
                  <w:tcW w:w="2697" w:type="pct"/>
                  <w:tcMar>
                    <w:top w:w="15" w:type="dxa"/>
                    <w:left w:w="15" w:type="dxa"/>
                    <w:bottom w:w="15" w:type="dxa"/>
                    <w:right w:w="15" w:type="dxa"/>
                  </w:tcMar>
                  <w:vAlign w:val="center"/>
                  <w:hideMark/>
                </w:tcPr>
                <w:p w14:paraId="41E3F5D8" w14:textId="77777777" w:rsidR="009F20E4" w:rsidRPr="007F75B5" w:rsidRDefault="009F20E4" w:rsidP="009F20E4">
                  <w:pPr>
                    <w:spacing w:before="48" w:after="48"/>
                    <w:ind w:left="82"/>
                    <w:rPr>
                      <w:rFonts w:ascii="Times New Roman" w:hAnsi="Times New Roman" w:cs="Times New Roman"/>
                      <w:sz w:val="20"/>
                      <w:szCs w:val="20"/>
                    </w:rPr>
                  </w:pPr>
                  <w:proofErr w:type="spellStart"/>
                  <w:r w:rsidRPr="007F75B5">
                    <w:rPr>
                      <w:rFonts w:ascii="Times New Roman" w:hAnsi="Times New Roman" w:cs="Times New Roman"/>
                      <w:b/>
                      <w:bCs/>
                      <w:sz w:val="20"/>
                      <w:szCs w:val="20"/>
                    </w:rPr>
                    <w:t>Residential</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buildings</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with</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two</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or</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more</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apartments</w:t>
                  </w:r>
                  <w:proofErr w:type="spellEnd"/>
                </w:p>
              </w:tc>
              <w:tc>
                <w:tcPr>
                  <w:tcW w:w="1101" w:type="pct"/>
                  <w:tcMar>
                    <w:top w:w="15" w:type="dxa"/>
                    <w:left w:w="15" w:type="dxa"/>
                    <w:bottom w:w="15" w:type="dxa"/>
                    <w:right w:w="15" w:type="dxa"/>
                  </w:tcMar>
                  <w:vAlign w:val="center"/>
                  <w:hideMark/>
                </w:tcPr>
                <w:p w14:paraId="615B42D2" w14:textId="77777777" w:rsidR="009F20E4" w:rsidRPr="007F75B5" w:rsidRDefault="009F20E4" w:rsidP="009F20E4">
                  <w:pPr>
                    <w:snapToGrid w:val="0"/>
                    <w:spacing w:before="48" w:after="48"/>
                    <w:rPr>
                      <w:rFonts w:ascii="Times New Roman" w:eastAsia="Calibri" w:hAnsi="Times New Roman" w:cs="Times New Roman"/>
                      <w:sz w:val="20"/>
                      <w:szCs w:val="20"/>
                    </w:rPr>
                  </w:pPr>
                  <w:r w:rsidRPr="007F75B5">
                    <w:rPr>
                      <w:rFonts w:ascii="Times New Roman" w:eastAsia="Calibri" w:hAnsi="Times New Roman" w:cs="Times New Roman"/>
                      <w:b/>
                      <w:bCs/>
                      <w:sz w:val="20"/>
                      <w:szCs w:val="20"/>
                    </w:rPr>
                    <w:t>112</w:t>
                  </w:r>
                </w:p>
              </w:tc>
              <w:tc>
                <w:tcPr>
                  <w:tcW w:w="1130" w:type="pct"/>
                  <w:tcMar>
                    <w:top w:w="15" w:type="dxa"/>
                    <w:left w:w="15" w:type="dxa"/>
                    <w:bottom w:w="15" w:type="dxa"/>
                    <w:right w:w="15" w:type="dxa"/>
                  </w:tcMar>
                  <w:hideMark/>
                </w:tcPr>
                <w:p w14:paraId="051F6CF3" w14:textId="6928A3F3" w:rsidR="009F20E4" w:rsidRPr="007F75B5" w:rsidRDefault="007F75B5" w:rsidP="006C2EF3">
                  <w:pPr>
                    <w:jc w:val="center"/>
                    <w:rPr>
                      <w:rFonts w:ascii="Times New Roman" w:hAnsi="Times New Roman" w:cs="Times New Roman"/>
                      <w:sz w:val="20"/>
                      <w:szCs w:val="20"/>
                    </w:rPr>
                  </w:pPr>
                  <w:proofErr w:type="spellStart"/>
                  <w:r w:rsidRPr="007F75B5">
                    <w:rPr>
                      <w:rFonts w:ascii="Times New Roman" w:hAnsi="Times New Roman" w:cs="Times New Roman"/>
                      <w:sz w:val="20"/>
                      <w:szCs w:val="20"/>
                    </w:rPr>
                    <w:t>all</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accompanying</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classification</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numbers</w:t>
                  </w:r>
                  <w:proofErr w:type="spellEnd"/>
                </w:p>
              </w:tc>
            </w:tr>
            <w:tr w:rsidR="009F20E4" w:rsidRPr="007F75B5" w14:paraId="6F88AB09" w14:textId="77777777" w:rsidTr="00321E2E">
              <w:trPr>
                <w:tblCellSpacing w:w="15" w:type="dxa"/>
              </w:trPr>
              <w:tc>
                <w:tcPr>
                  <w:tcW w:w="2697" w:type="pct"/>
                  <w:tcMar>
                    <w:top w:w="15" w:type="dxa"/>
                    <w:left w:w="15" w:type="dxa"/>
                    <w:bottom w:w="15" w:type="dxa"/>
                    <w:right w:w="15" w:type="dxa"/>
                  </w:tcMar>
                  <w:vAlign w:val="center"/>
                  <w:hideMark/>
                </w:tcPr>
                <w:p w14:paraId="082F2011" w14:textId="77777777" w:rsidR="009F20E4" w:rsidRPr="007F75B5" w:rsidRDefault="009F20E4" w:rsidP="009F20E4">
                  <w:pPr>
                    <w:spacing w:before="48" w:after="48"/>
                    <w:ind w:left="82"/>
                    <w:rPr>
                      <w:rFonts w:ascii="Times New Roman" w:hAnsi="Times New Roman" w:cs="Times New Roman"/>
                      <w:sz w:val="20"/>
                      <w:szCs w:val="20"/>
                    </w:rPr>
                  </w:pPr>
                  <w:proofErr w:type="spellStart"/>
                  <w:r w:rsidRPr="007F75B5">
                    <w:rPr>
                      <w:rFonts w:ascii="Times New Roman" w:hAnsi="Times New Roman" w:cs="Times New Roman"/>
                      <w:b/>
                      <w:bCs/>
                      <w:sz w:val="20"/>
                      <w:szCs w:val="20"/>
                    </w:rPr>
                    <w:t>Buildings</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for</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community</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housing</w:t>
                  </w:r>
                  <w:proofErr w:type="spellEnd"/>
                </w:p>
              </w:tc>
              <w:tc>
                <w:tcPr>
                  <w:tcW w:w="1101" w:type="pct"/>
                  <w:tcMar>
                    <w:top w:w="15" w:type="dxa"/>
                    <w:left w:w="15" w:type="dxa"/>
                    <w:bottom w:w="15" w:type="dxa"/>
                    <w:right w:w="15" w:type="dxa"/>
                  </w:tcMar>
                  <w:vAlign w:val="center"/>
                  <w:hideMark/>
                </w:tcPr>
                <w:p w14:paraId="12EDD816" w14:textId="77777777" w:rsidR="009F20E4" w:rsidRPr="007F75B5" w:rsidRDefault="009F20E4" w:rsidP="009F20E4">
                  <w:pPr>
                    <w:snapToGrid w:val="0"/>
                    <w:spacing w:before="48" w:after="48"/>
                    <w:rPr>
                      <w:rFonts w:ascii="Times New Roman" w:eastAsia="Calibri" w:hAnsi="Times New Roman" w:cs="Times New Roman"/>
                      <w:sz w:val="20"/>
                      <w:szCs w:val="20"/>
                    </w:rPr>
                  </w:pPr>
                  <w:r w:rsidRPr="007F75B5">
                    <w:rPr>
                      <w:rFonts w:ascii="Times New Roman" w:eastAsia="Calibri" w:hAnsi="Times New Roman" w:cs="Times New Roman"/>
                      <w:b/>
                      <w:bCs/>
                      <w:sz w:val="20"/>
                      <w:szCs w:val="20"/>
                    </w:rPr>
                    <w:t>113</w:t>
                  </w:r>
                </w:p>
              </w:tc>
              <w:tc>
                <w:tcPr>
                  <w:tcW w:w="1130" w:type="pct"/>
                  <w:tcMar>
                    <w:top w:w="15" w:type="dxa"/>
                    <w:left w:w="15" w:type="dxa"/>
                    <w:bottom w:w="15" w:type="dxa"/>
                    <w:right w:w="15" w:type="dxa"/>
                  </w:tcMar>
                  <w:hideMark/>
                </w:tcPr>
                <w:p w14:paraId="49878867" w14:textId="0558CAF6" w:rsidR="009F20E4" w:rsidRPr="007F75B5" w:rsidRDefault="007F75B5" w:rsidP="006C2EF3">
                  <w:pPr>
                    <w:jc w:val="center"/>
                    <w:rPr>
                      <w:rFonts w:ascii="Times New Roman" w:hAnsi="Times New Roman" w:cs="Times New Roman"/>
                      <w:sz w:val="20"/>
                      <w:szCs w:val="20"/>
                    </w:rPr>
                  </w:pPr>
                  <w:proofErr w:type="spellStart"/>
                  <w:r w:rsidRPr="007F75B5">
                    <w:rPr>
                      <w:rFonts w:ascii="Times New Roman" w:hAnsi="Times New Roman" w:cs="Times New Roman"/>
                      <w:sz w:val="20"/>
                      <w:szCs w:val="20"/>
                    </w:rPr>
                    <w:t>all</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accompanying</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classification</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numbers</w:t>
                  </w:r>
                  <w:proofErr w:type="spellEnd"/>
                </w:p>
              </w:tc>
            </w:tr>
            <w:tr w:rsidR="009F20E4" w:rsidRPr="007F75B5" w14:paraId="6F9F29D8" w14:textId="77777777" w:rsidTr="00321E2E">
              <w:trPr>
                <w:tblCellSpacing w:w="15" w:type="dxa"/>
              </w:trPr>
              <w:tc>
                <w:tcPr>
                  <w:tcW w:w="2697" w:type="pct"/>
                  <w:tcMar>
                    <w:top w:w="15" w:type="dxa"/>
                    <w:left w:w="15" w:type="dxa"/>
                    <w:bottom w:w="15" w:type="dxa"/>
                    <w:right w:w="15" w:type="dxa"/>
                  </w:tcMar>
                  <w:vAlign w:val="center"/>
                  <w:hideMark/>
                </w:tcPr>
                <w:p w14:paraId="69166D61" w14:textId="77777777" w:rsidR="009F20E4" w:rsidRPr="007F75B5" w:rsidRDefault="009F20E4" w:rsidP="009F20E4">
                  <w:pPr>
                    <w:spacing w:before="48" w:after="48"/>
                    <w:ind w:left="82"/>
                    <w:rPr>
                      <w:rFonts w:ascii="Times New Roman" w:hAnsi="Times New Roman" w:cs="Times New Roman"/>
                      <w:sz w:val="20"/>
                      <w:szCs w:val="20"/>
                    </w:rPr>
                  </w:pPr>
                  <w:r w:rsidRPr="007F75B5">
                    <w:rPr>
                      <w:rFonts w:ascii="Times New Roman" w:hAnsi="Times New Roman" w:cs="Times New Roman"/>
                      <w:b/>
                      <w:bCs/>
                      <w:sz w:val="20"/>
                      <w:szCs w:val="20"/>
                    </w:rPr>
                    <w:t>NON-RESIDENTIAL BUILDINGS</w:t>
                  </w:r>
                </w:p>
              </w:tc>
              <w:tc>
                <w:tcPr>
                  <w:tcW w:w="1101" w:type="pct"/>
                  <w:tcMar>
                    <w:top w:w="15" w:type="dxa"/>
                    <w:left w:w="15" w:type="dxa"/>
                    <w:bottom w:w="15" w:type="dxa"/>
                    <w:right w:w="15" w:type="dxa"/>
                  </w:tcMar>
                  <w:vAlign w:val="center"/>
                  <w:hideMark/>
                </w:tcPr>
                <w:p w14:paraId="1C6F1ED9" w14:textId="6EBCF379" w:rsidR="009F20E4" w:rsidRPr="007F75B5" w:rsidRDefault="009F20E4" w:rsidP="009F20E4">
                  <w:pPr>
                    <w:snapToGrid w:val="0"/>
                    <w:spacing w:before="48" w:after="48"/>
                    <w:rPr>
                      <w:rFonts w:ascii="Times New Roman" w:eastAsia="Calibri" w:hAnsi="Times New Roman" w:cs="Times New Roman"/>
                      <w:sz w:val="20"/>
                      <w:szCs w:val="20"/>
                    </w:rPr>
                  </w:pPr>
                </w:p>
              </w:tc>
              <w:tc>
                <w:tcPr>
                  <w:tcW w:w="1130" w:type="pct"/>
                  <w:tcMar>
                    <w:top w:w="15" w:type="dxa"/>
                    <w:left w:w="15" w:type="dxa"/>
                    <w:bottom w:w="15" w:type="dxa"/>
                    <w:right w:w="15" w:type="dxa"/>
                  </w:tcMar>
                  <w:hideMark/>
                </w:tcPr>
                <w:p w14:paraId="6DFF20EE" w14:textId="2EC2C1EC" w:rsidR="009F20E4" w:rsidRPr="007F75B5" w:rsidRDefault="009F20E4" w:rsidP="006C2EF3">
                  <w:pPr>
                    <w:jc w:val="center"/>
                    <w:rPr>
                      <w:rFonts w:ascii="Times New Roman" w:hAnsi="Times New Roman" w:cs="Times New Roman"/>
                      <w:sz w:val="20"/>
                      <w:szCs w:val="20"/>
                    </w:rPr>
                  </w:pPr>
                </w:p>
              </w:tc>
            </w:tr>
            <w:tr w:rsidR="007F75B5" w:rsidRPr="007F75B5" w14:paraId="0D0CE7F7" w14:textId="77777777" w:rsidTr="00321E2E">
              <w:trPr>
                <w:tblCellSpacing w:w="15" w:type="dxa"/>
              </w:trPr>
              <w:tc>
                <w:tcPr>
                  <w:tcW w:w="2697" w:type="pct"/>
                  <w:tcMar>
                    <w:top w:w="15" w:type="dxa"/>
                    <w:left w:w="15" w:type="dxa"/>
                    <w:bottom w:w="15" w:type="dxa"/>
                    <w:right w:w="15" w:type="dxa"/>
                  </w:tcMar>
                  <w:vAlign w:val="center"/>
                  <w:hideMark/>
                </w:tcPr>
                <w:p w14:paraId="48152626" w14:textId="77777777" w:rsidR="007F75B5" w:rsidRPr="007F75B5" w:rsidRDefault="007F75B5" w:rsidP="007F75B5">
                  <w:pPr>
                    <w:spacing w:before="48" w:after="48"/>
                    <w:ind w:left="82"/>
                    <w:rPr>
                      <w:rFonts w:ascii="Times New Roman" w:hAnsi="Times New Roman" w:cs="Times New Roman"/>
                      <w:sz w:val="20"/>
                      <w:szCs w:val="20"/>
                    </w:rPr>
                  </w:pPr>
                  <w:proofErr w:type="spellStart"/>
                  <w:r w:rsidRPr="007F75B5">
                    <w:rPr>
                      <w:rFonts w:ascii="Times New Roman" w:hAnsi="Times New Roman" w:cs="Times New Roman"/>
                      <w:b/>
                      <w:bCs/>
                      <w:sz w:val="20"/>
                      <w:szCs w:val="20"/>
                    </w:rPr>
                    <w:t>Hotels</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and</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similar</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buildings</w:t>
                  </w:r>
                  <w:proofErr w:type="spellEnd"/>
                </w:p>
              </w:tc>
              <w:tc>
                <w:tcPr>
                  <w:tcW w:w="1101" w:type="pct"/>
                  <w:tcMar>
                    <w:top w:w="15" w:type="dxa"/>
                    <w:left w:w="15" w:type="dxa"/>
                    <w:bottom w:w="15" w:type="dxa"/>
                    <w:right w:w="15" w:type="dxa"/>
                  </w:tcMar>
                  <w:vAlign w:val="center"/>
                  <w:hideMark/>
                </w:tcPr>
                <w:p w14:paraId="6E65622F" w14:textId="77777777" w:rsidR="007F75B5" w:rsidRPr="007F75B5" w:rsidRDefault="007F75B5" w:rsidP="007F75B5">
                  <w:pPr>
                    <w:snapToGrid w:val="0"/>
                    <w:spacing w:before="48" w:after="48"/>
                    <w:rPr>
                      <w:rFonts w:ascii="Times New Roman" w:eastAsia="Calibri" w:hAnsi="Times New Roman" w:cs="Times New Roman"/>
                      <w:sz w:val="20"/>
                      <w:szCs w:val="20"/>
                    </w:rPr>
                  </w:pPr>
                  <w:r w:rsidRPr="007F75B5">
                    <w:rPr>
                      <w:rFonts w:ascii="Times New Roman" w:eastAsia="Calibri" w:hAnsi="Times New Roman" w:cs="Times New Roman"/>
                      <w:b/>
                      <w:bCs/>
                      <w:sz w:val="20"/>
                      <w:szCs w:val="20"/>
                    </w:rPr>
                    <w:t>121</w:t>
                  </w:r>
                </w:p>
              </w:tc>
              <w:tc>
                <w:tcPr>
                  <w:tcW w:w="1130" w:type="pct"/>
                  <w:tcMar>
                    <w:top w:w="15" w:type="dxa"/>
                    <w:left w:w="15" w:type="dxa"/>
                    <w:bottom w:w="15" w:type="dxa"/>
                    <w:right w:w="15" w:type="dxa"/>
                  </w:tcMar>
                </w:tcPr>
                <w:p w14:paraId="427491DF" w14:textId="616FDE74" w:rsidR="007F75B5" w:rsidRPr="007F75B5" w:rsidRDefault="007F75B5" w:rsidP="006C2EF3">
                  <w:pPr>
                    <w:jc w:val="center"/>
                    <w:rPr>
                      <w:rFonts w:ascii="Times New Roman" w:hAnsi="Times New Roman" w:cs="Times New Roman"/>
                      <w:sz w:val="20"/>
                      <w:szCs w:val="20"/>
                    </w:rPr>
                  </w:pPr>
                  <w:proofErr w:type="spellStart"/>
                  <w:r w:rsidRPr="007F75B5">
                    <w:rPr>
                      <w:rFonts w:ascii="Times New Roman" w:hAnsi="Times New Roman" w:cs="Times New Roman"/>
                      <w:sz w:val="20"/>
                      <w:szCs w:val="20"/>
                    </w:rPr>
                    <w:t>all</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accompanying</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classification</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numbers</w:t>
                  </w:r>
                  <w:proofErr w:type="spellEnd"/>
                </w:p>
              </w:tc>
            </w:tr>
            <w:tr w:rsidR="007F75B5" w:rsidRPr="007F75B5" w14:paraId="4B22A804" w14:textId="77777777" w:rsidTr="00321E2E">
              <w:trPr>
                <w:tblCellSpacing w:w="15" w:type="dxa"/>
              </w:trPr>
              <w:tc>
                <w:tcPr>
                  <w:tcW w:w="2697" w:type="pct"/>
                  <w:tcMar>
                    <w:top w:w="15" w:type="dxa"/>
                    <w:left w:w="15" w:type="dxa"/>
                    <w:bottom w:w="15" w:type="dxa"/>
                    <w:right w:w="15" w:type="dxa"/>
                  </w:tcMar>
                  <w:vAlign w:val="center"/>
                  <w:hideMark/>
                </w:tcPr>
                <w:p w14:paraId="11926D5F" w14:textId="77777777" w:rsidR="007F75B5" w:rsidRPr="007F75B5" w:rsidRDefault="007F75B5" w:rsidP="007F75B5">
                  <w:pPr>
                    <w:spacing w:before="48" w:after="48"/>
                    <w:ind w:left="82"/>
                    <w:rPr>
                      <w:rFonts w:ascii="Times New Roman" w:hAnsi="Times New Roman" w:cs="Times New Roman"/>
                      <w:sz w:val="20"/>
                      <w:szCs w:val="20"/>
                    </w:rPr>
                  </w:pPr>
                  <w:proofErr w:type="spellStart"/>
                  <w:r w:rsidRPr="007F75B5">
                    <w:rPr>
                      <w:rFonts w:ascii="Times New Roman" w:hAnsi="Times New Roman" w:cs="Times New Roman"/>
                      <w:b/>
                      <w:bCs/>
                      <w:sz w:val="20"/>
                      <w:szCs w:val="20"/>
                    </w:rPr>
                    <w:t>Business</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buildings</w:t>
                  </w:r>
                  <w:proofErr w:type="spellEnd"/>
                  <w:r w:rsidRPr="007F75B5">
                    <w:rPr>
                      <w:rFonts w:ascii="Times New Roman" w:hAnsi="Times New Roman" w:cs="Times New Roman"/>
                      <w:b/>
                      <w:bCs/>
                      <w:sz w:val="20"/>
                      <w:szCs w:val="20"/>
                    </w:rPr>
                    <w:t> </w:t>
                  </w:r>
                </w:p>
              </w:tc>
              <w:tc>
                <w:tcPr>
                  <w:tcW w:w="1101" w:type="pct"/>
                  <w:tcMar>
                    <w:top w:w="15" w:type="dxa"/>
                    <w:left w:w="15" w:type="dxa"/>
                    <w:bottom w:w="15" w:type="dxa"/>
                    <w:right w:w="15" w:type="dxa"/>
                  </w:tcMar>
                  <w:vAlign w:val="center"/>
                  <w:hideMark/>
                </w:tcPr>
                <w:p w14:paraId="397A8697" w14:textId="77777777" w:rsidR="007F75B5" w:rsidRPr="007F75B5" w:rsidRDefault="007F75B5" w:rsidP="007F75B5">
                  <w:pPr>
                    <w:snapToGrid w:val="0"/>
                    <w:spacing w:before="48" w:after="48"/>
                    <w:rPr>
                      <w:rFonts w:ascii="Times New Roman" w:eastAsia="Calibri" w:hAnsi="Times New Roman" w:cs="Times New Roman"/>
                      <w:sz w:val="20"/>
                      <w:szCs w:val="20"/>
                    </w:rPr>
                  </w:pPr>
                  <w:r w:rsidRPr="007F75B5">
                    <w:rPr>
                      <w:rFonts w:ascii="Times New Roman" w:eastAsia="Calibri" w:hAnsi="Times New Roman" w:cs="Times New Roman"/>
                      <w:b/>
                      <w:bCs/>
                      <w:sz w:val="20"/>
                      <w:szCs w:val="20"/>
                    </w:rPr>
                    <w:t>122</w:t>
                  </w:r>
                </w:p>
              </w:tc>
              <w:tc>
                <w:tcPr>
                  <w:tcW w:w="1130" w:type="pct"/>
                  <w:tcMar>
                    <w:top w:w="15" w:type="dxa"/>
                    <w:left w:w="15" w:type="dxa"/>
                    <w:bottom w:w="15" w:type="dxa"/>
                    <w:right w:w="15" w:type="dxa"/>
                  </w:tcMar>
                </w:tcPr>
                <w:p w14:paraId="2C8A27B9" w14:textId="1BB5FE4E" w:rsidR="007F75B5" w:rsidRPr="007F75B5" w:rsidRDefault="007F75B5" w:rsidP="006C2EF3">
                  <w:pPr>
                    <w:jc w:val="center"/>
                    <w:rPr>
                      <w:rFonts w:ascii="Times New Roman" w:hAnsi="Times New Roman" w:cs="Times New Roman"/>
                      <w:sz w:val="20"/>
                      <w:szCs w:val="20"/>
                    </w:rPr>
                  </w:pPr>
                  <w:proofErr w:type="spellStart"/>
                  <w:r w:rsidRPr="007F75B5">
                    <w:rPr>
                      <w:rFonts w:ascii="Times New Roman" w:hAnsi="Times New Roman" w:cs="Times New Roman"/>
                      <w:sz w:val="20"/>
                      <w:szCs w:val="20"/>
                    </w:rPr>
                    <w:t>all</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accompanying</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classification</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numbers</w:t>
                  </w:r>
                  <w:proofErr w:type="spellEnd"/>
                </w:p>
              </w:tc>
            </w:tr>
            <w:tr w:rsidR="007F75B5" w:rsidRPr="007F75B5" w14:paraId="3CF0F403" w14:textId="77777777" w:rsidTr="00321E2E">
              <w:trPr>
                <w:tblCellSpacing w:w="15" w:type="dxa"/>
              </w:trPr>
              <w:tc>
                <w:tcPr>
                  <w:tcW w:w="2697" w:type="pct"/>
                  <w:tcMar>
                    <w:top w:w="15" w:type="dxa"/>
                    <w:left w:w="15" w:type="dxa"/>
                    <w:bottom w:w="15" w:type="dxa"/>
                    <w:right w:w="15" w:type="dxa"/>
                  </w:tcMar>
                  <w:vAlign w:val="center"/>
                  <w:hideMark/>
                </w:tcPr>
                <w:p w14:paraId="0B948A0E" w14:textId="70841336" w:rsidR="007F75B5" w:rsidRPr="007F75B5" w:rsidRDefault="007F75B5" w:rsidP="007F75B5">
                  <w:pPr>
                    <w:spacing w:before="48" w:after="48"/>
                    <w:ind w:left="82"/>
                    <w:rPr>
                      <w:rFonts w:ascii="Times New Roman" w:hAnsi="Times New Roman" w:cs="Times New Roman"/>
                      <w:sz w:val="20"/>
                      <w:szCs w:val="20"/>
                    </w:rPr>
                  </w:pPr>
                  <w:proofErr w:type="spellStart"/>
                  <w:r w:rsidRPr="007F75B5">
                    <w:rPr>
                      <w:rFonts w:ascii="Times New Roman" w:hAnsi="Times New Roman" w:cs="Times New Roman"/>
                      <w:b/>
                      <w:bCs/>
                      <w:sz w:val="20"/>
                      <w:szCs w:val="20"/>
                    </w:rPr>
                    <w:t>Wholesale</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and</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retail</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buildings</w:t>
                  </w:r>
                  <w:proofErr w:type="spellEnd"/>
                  <w:r w:rsidRPr="007F75B5">
                    <w:rPr>
                      <w:rFonts w:ascii="Times New Roman" w:hAnsi="Times New Roman" w:cs="Times New Roman"/>
                      <w:b/>
                      <w:bCs/>
                      <w:sz w:val="20"/>
                      <w:szCs w:val="20"/>
                    </w:rPr>
                    <w:t xml:space="preserve"> </w:t>
                  </w:r>
                </w:p>
              </w:tc>
              <w:tc>
                <w:tcPr>
                  <w:tcW w:w="1101" w:type="pct"/>
                  <w:tcMar>
                    <w:top w:w="15" w:type="dxa"/>
                    <w:left w:w="15" w:type="dxa"/>
                    <w:bottom w:w="15" w:type="dxa"/>
                    <w:right w:w="15" w:type="dxa"/>
                  </w:tcMar>
                  <w:vAlign w:val="center"/>
                  <w:hideMark/>
                </w:tcPr>
                <w:p w14:paraId="5C810470" w14:textId="78CA5E7C" w:rsidR="007F75B5" w:rsidRPr="007F75B5" w:rsidRDefault="007F75B5" w:rsidP="007F75B5">
                  <w:pPr>
                    <w:snapToGrid w:val="0"/>
                    <w:spacing w:before="48" w:after="48"/>
                    <w:rPr>
                      <w:rFonts w:ascii="Times New Roman" w:eastAsia="Calibri" w:hAnsi="Times New Roman" w:cs="Times New Roman"/>
                      <w:sz w:val="20"/>
                      <w:szCs w:val="20"/>
                      <w:lang w:val="en-US"/>
                    </w:rPr>
                  </w:pPr>
                  <w:r w:rsidRPr="007F75B5">
                    <w:rPr>
                      <w:rFonts w:ascii="Times New Roman" w:eastAsia="Calibri" w:hAnsi="Times New Roman" w:cs="Times New Roman"/>
                      <w:b/>
                      <w:bCs/>
                      <w:sz w:val="20"/>
                      <w:szCs w:val="20"/>
                    </w:rPr>
                    <w:t>12</w:t>
                  </w:r>
                  <w:r w:rsidRPr="007F75B5">
                    <w:rPr>
                      <w:rFonts w:ascii="Times New Roman" w:eastAsia="Calibri" w:hAnsi="Times New Roman" w:cs="Times New Roman"/>
                      <w:b/>
                      <w:bCs/>
                      <w:sz w:val="20"/>
                      <w:szCs w:val="20"/>
                      <w:lang w:val="en-US"/>
                    </w:rPr>
                    <w:t>3</w:t>
                  </w:r>
                </w:p>
              </w:tc>
              <w:tc>
                <w:tcPr>
                  <w:tcW w:w="1130" w:type="pct"/>
                  <w:tcMar>
                    <w:top w:w="15" w:type="dxa"/>
                    <w:left w:w="15" w:type="dxa"/>
                    <w:bottom w:w="15" w:type="dxa"/>
                    <w:right w:w="15" w:type="dxa"/>
                  </w:tcMar>
                </w:tcPr>
                <w:p w14:paraId="5C943638" w14:textId="2FE9BAF9" w:rsidR="007F75B5" w:rsidRPr="007F75B5" w:rsidRDefault="007F75B5" w:rsidP="006C2EF3">
                  <w:pPr>
                    <w:jc w:val="center"/>
                    <w:rPr>
                      <w:rFonts w:ascii="Times New Roman" w:hAnsi="Times New Roman" w:cs="Times New Roman"/>
                      <w:sz w:val="20"/>
                      <w:szCs w:val="20"/>
                    </w:rPr>
                  </w:pPr>
                  <w:proofErr w:type="spellStart"/>
                  <w:r w:rsidRPr="007F75B5">
                    <w:rPr>
                      <w:rFonts w:ascii="Times New Roman" w:hAnsi="Times New Roman" w:cs="Times New Roman"/>
                      <w:sz w:val="20"/>
                      <w:szCs w:val="20"/>
                    </w:rPr>
                    <w:t>all</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accompanying</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classification</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numbers</w:t>
                  </w:r>
                  <w:proofErr w:type="spellEnd"/>
                </w:p>
              </w:tc>
            </w:tr>
            <w:tr w:rsidR="007F75B5" w:rsidRPr="007F75B5" w14:paraId="0ABA986B" w14:textId="77777777" w:rsidTr="00321E2E">
              <w:trPr>
                <w:tblCellSpacing w:w="15" w:type="dxa"/>
              </w:trPr>
              <w:tc>
                <w:tcPr>
                  <w:tcW w:w="2697" w:type="pct"/>
                  <w:tcMar>
                    <w:top w:w="15" w:type="dxa"/>
                    <w:left w:w="15" w:type="dxa"/>
                    <w:bottom w:w="15" w:type="dxa"/>
                    <w:right w:w="15" w:type="dxa"/>
                  </w:tcMar>
                  <w:vAlign w:val="center"/>
                  <w:hideMark/>
                </w:tcPr>
                <w:p w14:paraId="02CDDFA0" w14:textId="15E1E0DA" w:rsidR="007F75B5" w:rsidRPr="007F75B5" w:rsidRDefault="007F75B5" w:rsidP="007F75B5">
                  <w:pPr>
                    <w:spacing w:before="48" w:after="48"/>
                    <w:ind w:left="82"/>
                    <w:rPr>
                      <w:rFonts w:ascii="Times New Roman" w:hAnsi="Times New Roman" w:cs="Times New Roman"/>
                      <w:sz w:val="20"/>
                      <w:szCs w:val="20"/>
                    </w:rPr>
                  </w:pPr>
                  <w:proofErr w:type="spellStart"/>
                  <w:r w:rsidRPr="007F75B5">
                    <w:rPr>
                      <w:rFonts w:ascii="Times New Roman" w:hAnsi="Times New Roman" w:cs="Times New Roman"/>
                      <w:b/>
                      <w:bCs/>
                      <w:sz w:val="20"/>
                      <w:szCs w:val="20"/>
                    </w:rPr>
                    <w:lastRenderedPageBreak/>
                    <w:t>Industrial</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buildings</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and</w:t>
                  </w:r>
                  <w:proofErr w:type="spellEnd"/>
                  <w:r w:rsidRPr="007F75B5">
                    <w:rPr>
                      <w:rFonts w:ascii="Times New Roman" w:hAnsi="Times New Roman" w:cs="Times New Roman"/>
                      <w:b/>
                      <w:bCs/>
                      <w:sz w:val="20"/>
                      <w:szCs w:val="20"/>
                    </w:rPr>
                    <w:t xml:space="preserve"> </w:t>
                  </w:r>
                  <w:proofErr w:type="spellStart"/>
                  <w:r w:rsidRPr="007F75B5">
                    <w:rPr>
                      <w:rFonts w:ascii="Times New Roman" w:hAnsi="Times New Roman" w:cs="Times New Roman"/>
                      <w:b/>
                      <w:bCs/>
                      <w:sz w:val="20"/>
                      <w:szCs w:val="20"/>
                    </w:rPr>
                    <w:t>warehouses</w:t>
                  </w:r>
                  <w:proofErr w:type="spellEnd"/>
                </w:p>
              </w:tc>
              <w:tc>
                <w:tcPr>
                  <w:tcW w:w="1101" w:type="pct"/>
                  <w:tcMar>
                    <w:top w:w="15" w:type="dxa"/>
                    <w:left w:w="15" w:type="dxa"/>
                    <w:bottom w:w="15" w:type="dxa"/>
                    <w:right w:w="15" w:type="dxa"/>
                  </w:tcMar>
                  <w:vAlign w:val="center"/>
                  <w:hideMark/>
                </w:tcPr>
                <w:p w14:paraId="2F08AA02" w14:textId="21E793FE" w:rsidR="007F75B5" w:rsidRPr="007F75B5" w:rsidRDefault="007F75B5" w:rsidP="007F75B5">
                  <w:pPr>
                    <w:snapToGrid w:val="0"/>
                    <w:spacing w:before="48" w:after="48"/>
                    <w:rPr>
                      <w:rFonts w:ascii="Times New Roman" w:eastAsia="Calibri" w:hAnsi="Times New Roman" w:cs="Times New Roman"/>
                      <w:sz w:val="20"/>
                      <w:szCs w:val="20"/>
                      <w:lang w:val="en-US"/>
                    </w:rPr>
                  </w:pPr>
                  <w:r w:rsidRPr="007F75B5">
                    <w:rPr>
                      <w:rFonts w:ascii="Times New Roman" w:eastAsia="Calibri" w:hAnsi="Times New Roman" w:cs="Times New Roman"/>
                      <w:b/>
                      <w:bCs/>
                      <w:sz w:val="20"/>
                      <w:szCs w:val="20"/>
                    </w:rPr>
                    <w:t>12</w:t>
                  </w:r>
                  <w:r w:rsidRPr="007F75B5">
                    <w:rPr>
                      <w:rFonts w:ascii="Times New Roman" w:eastAsia="Calibri" w:hAnsi="Times New Roman" w:cs="Times New Roman"/>
                      <w:b/>
                      <w:bCs/>
                      <w:sz w:val="20"/>
                      <w:szCs w:val="20"/>
                      <w:lang w:val="en-US"/>
                    </w:rPr>
                    <w:t>51</w:t>
                  </w:r>
                </w:p>
              </w:tc>
              <w:tc>
                <w:tcPr>
                  <w:tcW w:w="1130" w:type="pct"/>
                  <w:tcMar>
                    <w:top w:w="15" w:type="dxa"/>
                    <w:left w:w="15" w:type="dxa"/>
                    <w:bottom w:w="15" w:type="dxa"/>
                    <w:right w:w="15" w:type="dxa"/>
                  </w:tcMar>
                </w:tcPr>
                <w:p w14:paraId="7A6EE0FF" w14:textId="34B6A49F" w:rsidR="007F75B5" w:rsidRPr="007F75B5" w:rsidRDefault="007F75B5" w:rsidP="006C2EF3">
                  <w:pPr>
                    <w:jc w:val="center"/>
                    <w:rPr>
                      <w:rFonts w:ascii="Times New Roman" w:hAnsi="Times New Roman" w:cs="Times New Roman"/>
                      <w:sz w:val="20"/>
                      <w:szCs w:val="20"/>
                    </w:rPr>
                  </w:pPr>
                  <w:proofErr w:type="spellStart"/>
                  <w:r w:rsidRPr="007F75B5">
                    <w:rPr>
                      <w:rFonts w:ascii="Times New Roman" w:hAnsi="Times New Roman" w:cs="Times New Roman"/>
                      <w:sz w:val="20"/>
                      <w:szCs w:val="20"/>
                    </w:rPr>
                    <w:t>all</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accompanying</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classification</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numbers</w:t>
                  </w:r>
                  <w:proofErr w:type="spellEnd"/>
                </w:p>
              </w:tc>
            </w:tr>
            <w:tr w:rsidR="007F75B5" w:rsidRPr="007F75B5" w14:paraId="6EEB9FF9" w14:textId="77777777" w:rsidTr="00321E2E">
              <w:trPr>
                <w:tblCellSpacing w:w="15" w:type="dxa"/>
              </w:trPr>
              <w:tc>
                <w:tcPr>
                  <w:tcW w:w="2697" w:type="pct"/>
                  <w:tcMar>
                    <w:top w:w="15" w:type="dxa"/>
                    <w:left w:w="15" w:type="dxa"/>
                    <w:bottom w:w="15" w:type="dxa"/>
                    <w:right w:w="15" w:type="dxa"/>
                  </w:tcMar>
                  <w:vAlign w:val="center"/>
                  <w:hideMark/>
                </w:tcPr>
                <w:p w14:paraId="3375E510" w14:textId="2E05F301" w:rsidR="007F75B5" w:rsidRPr="007F75B5" w:rsidRDefault="007F75B5" w:rsidP="007F75B5">
                  <w:pPr>
                    <w:snapToGrid w:val="0"/>
                    <w:spacing w:before="48" w:after="48"/>
                    <w:ind w:left="82"/>
                    <w:rPr>
                      <w:rFonts w:ascii="Times New Roman" w:eastAsia="Calibri" w:hAnsi="Times New Roman" w:cs="Times New Roman"/>
                      <w:b/>
                      <w:sz w:val="20"/>
                      <w:szCs w:val="20"/>
                    </w:rPr>
                  </w:pPr>
                  <w:proofErr w:type="spellStart"/>
                  <w:r w:rsidRPr="007F75B5">
                    <w:rPr>
                      <w:rFonts w:ascii="Times New Roman" w:eastAsia="Calibri" w:hAnsi="Times New Roman" w:cs="Times New Roman"/>
                      <w:b/>
                      <w:bCs/>
                      <w:sz w:val="20"/>
                      <w:szCs w:val="20"/>
                    </w:rPr>
                    <w:t>Buildings</w:t>
                  </w:r>
                  <w:proofErr w:type="spellEnd"/>
                  <w:r w:rsidRPr="007F75B5">
                    <w:rPr>
                      <w:rFonts w:ascii="Times New Roman" w:eastAsia="Calibri" w:hAnsi="Times New Roman" w:cs="Times New Roman"/>
                      <w:b/>
                      <w:bCs/>
                      <w:sz w:val="20"/>
                      <w:szCs w:val="20"/>
                    </w:rPr>
                    <w:t xml:space="preserve"> </w:t>
                  </w:r>
                  <w:proofErr w:type="spellStart"/>
                  <w:r w:rsidRPr="007F75B5">
                    <w:rPr>
                      <w:rFonts w:ascii="Times New Roman" w:eastAsia="Calibri" w:hAnsi="Times New Roman" w:cs="Times New Roman"/>
                      <w:b/>
                      <w:bCs/>
                      <w:sz w:val="20"/>
                      <w:szCs w:val="20"/>
                    </w:rPr>
                    <w:t>for</w:t>
                  </w:r>
                  <w:proofErr w:type="spellEnd"/>
                  <w:r w:rsidRPr="007F75B5">
                    <w:rPr>
                      <w:rFonts w:ascii="Times New Roman" w:eastAsia="Calibri" w:hAnsi="Times New Roman" w:cs="Times New Roman"/>
                      <w:b/>
                      <w:bCs/>
                      <w:sz w:val="20"/>
                      <w:szCs w:val="20"/>
                    </w:rPr>
                    <w:t xml:space="preserve"> </w:t>
                  </w:r>
                  <w:proofErr w:type="spellStart"/>
                  <w:r w:rsidRPr="007F75B5">
                    <w:rPr>
                      <w:rFonts w:ascii="Times New Roman" w:eastAsia="Calibri" w:hAnsi="Times New Roman" w:cs="Times New Roman"/>
                      <w:b/>
                      <w:bCs/>
                      <w:sz w:val="20"/>
                      <w:szCs w:val="20"/>
                    </w:rPr>
                    <w:t>cultural</w:t>
                  </w:r>
                  <w:proofErr w:type="spellEnd"/>
                  <w:r w:rsidRPr="007F75B5">
                    <w:rPr>
                      <w:rFonts w:ascii="Times New Roman" w:eastAsia="Calibri" w:hAnsi="Times New Roman" w:cs="Times New Roman"/>
                      <w:b/>
                      <w:bCs/>
                      <w:sz w:val="20"/>
                      <w:szCs w:val="20"/>
                    </w:rPr>
                    <w:t xml:space="preserve"> </w:t>
                  </w:r>
                  <w:proofErr w:type="spellStart"/>
                  <w:r w:rsidRPr="007F75B5">
                    <w:rPr>
                      <w:rFonts w:ascii="Times New Roman" w:eastAsia="Calibri" w:hAnsi="Times New Roman" w:cs="Times New Roman"/>
                      <w:b/>
                      <w:bCs/>
                      <w:sz w:val="20"/>
                      <w:szCs w:val="20"/>
                    </w:rPr>
                    <w:t>and</w:t>
                  </w:r>
                  <w:proofErr w:type="spellEnd"/>
                  <w:r w:rsidRPr="007F75B5">
                    <w:rPr>
                      <w:rFonts w:ascii="Times New Roman" w:eastAsia="Calibri" w:hAnsi="Times New Roman" w:cs="Times New Roman"/>
                      <w:b/>
                      <w:bCs/>
                      <w:sz w:val="20"/>
                      <w:szCs w:val="20"/>
                    </w:rPr>
                    <w:t xml:space="preserve"> </w:t>
                  </w:r>
                  <w:proofErr w:type="spellStart"/>
                  <w:r w:rsidRPr="007F75B5">
                    <w:rPr>
                      <w:rFonts w:ascii="Times New Roman" w:eastAsia="Calibri" w:hAnsi="Times New Roman" w:cs="Times New Roman"/>
                      <w:b/>
                      <w:bCs/>
                      <w:sz w:val="20"/>
                      <w:szCs w:val="20"/>
                    </w:rPr>
                    <w:t>artistic</w:t>
                  </w:r>
                  <w:proofErr w:type="spellEnd"/>
                  <w:r w:rsidRPr="007F75B5">
                    <w:rPr>
                      <w:rFonts w:ascii="Times New Roman" w:eastAsia="Calibri" w:hAnsi="Times New Roman" w:cs="Times New Roman"/>
                      <w:b/>
                      <w:bCs/>
                      <w:sz w:val="20"/>
                      <w:szCs w:val="20"/>
                    </w:rPr>
                    <w:t xml:space="preserve"> </w:t>
                  </w:r>
                  <w:proofErr w:type="spellStart"/>
                  <w:r w:rsidRPr="007F75B5">
                    <w:rPr>
                      <w:rFonts w:ascii="Times New Roman" w:eastAsia="Calibri" w:hAnsi="Times New Roman" w:cs="Times New Roman"/>
                      <w:b/>
                      <w:bCs/>
                      <w:sz w:val="20"/>
                      <w:szCs w:val="20"/>
                    </w:rPr>
                    <w:t>activities</w:t>
                  </w:r>
                  <w:proofErr w:type="spellEnd"/>
                  <w:r w:rsidRPr="007F75B5">
                    <w:rPr>
                      <w:rFonts w:ascii="Times New Roman" w:eastAsia="Calibri" w:hAnsi="Times New Roman" w:cs="Times New Roman"/>
                      <w:b/>
                      <w:bCs/>
                      <w:sz w:val="20"/>
                      <w:szCs w:val="20"/>
                    </w:rPr>
                    <w:t xml:space="preserve"> </w:t>
                  </w:r>
                  <w:proofErr w:type="spellStart"/>
                  <w:r w:rsidRPr="007F75B5">
                    <w:rPr>
                      <w:rFonts w:ascii="Times New Roman" w:eastAsia="Calibri" w:hAnsi="Times New Roman" w:cs="Times New Roman"/>
                      <w:b/>
                      <w:bCs/>
                      <w:sz w:val="20"/>
                      <w:szCs w:val="20"/>
                    </w:rPr>
                    <w:t>and</w:t>
                  </w:r>
                  <w:proofErr w:type="spellEnd"/>
                  <w:r w:rsidRPr="007F75B5">
                    <w:rPr>
                      <w:rFonts w:ascii="Times New Roman" w:eastAsia="Calibri" w:hAnsi="Times New Roman" w:cs="Times New Roman"/>
                      <w:b/>
                      <w:bCs/>
                      <w:sz w:val="20"/>
                      <w:szCs w:val="20"/>
                    </w:rPr>
                    <w:t xml:space="preserve"> </w:t>
                  </w:r>
                  <w:proofErr w:type="spellStart"/>
                  <w:r w:rsidRPr="007F75B5">
                    <w:rPr>
                      <w:rFonts w:ascii="Times New Roman" w:eastAsia="Calibri" w:hAnsi="Times New Roman" w:cs="Times New Roman"/>
                      <w:b/>
                      <w:bCs/>
                      <w:sz w:val="20"/>
                      <w:szCs w:val="20"/>
                    </w:rPr>
                    <w:t>entertainment</w:t>
                  </w:r>
                  <w:proofErr w:type="spellEnd"/>
                  <w:r w:rsidRPr="007F75B5">
                    <w:rPr>
                      <w:rFonts w:ascii="Times New Roman" w:eastAsia="Calibri" w:hAnsi="Times New Roman" w:cs="Times New Roman"/>
                      <w:b/>
                      <w:bCs/>
                      <w:sz w:val="20"/>
                      <w:szCs w:val="20"/>
                    </w:rPr>
                    <w:t xml:space="preserve">, </w:t>
                  </w:r>
                  <w:proofErr w:type="spellStart"/>
                  <w:r w:rsidRPr="007F75B5">
                    <w:rPr>
                      <w:rFonts w:ascii="Times New Roman" w:eastAsia="Calibri" w:hAnsi="Times New Roman" w:cs="Times New Roman"/>
                      <w:b/>
                      <w:bCs/>
                      <w:sz w:val="20"/>
                      <w:szCs w:val="20"/>
                    </w:rPr>
                    <w:t>education</w:t>
                  </w:r>
                  <w:proofErr w:type="spellEnd"/>
                  <w:r w:rsidRPr="007F75B5">
                    <w:rPr>
                      <w:rFonts w:ascii="Times New Roman" w:eastAsia="Calibri" w:hAnsi="Times New Roman" w:cs="Times New Roman"/>
                      <w:b/>
                      <w:bCs/>
                      <w:sz w:val="20"/>
                      <w:szCs w:val="20"/>
                    </w:rPr>
                    <w:t xml:space="preserve">, </w:t>
                  </w:r>
                  <w:proofErr w:type="spellStart"/>
                  <w:r w:rsidRPr="007F75B5">
                    <w:rPr>
                      <w:rFonts w:ascii="Times New Roman" w:eastAsia="Calibri" w:hAnsi="Times New Roman" w:cs="Times New Roman"/>
                      <w:b/>
                      <w:bCs/>
                      <w:sz w:val="20"/>
                      <w:szCs w:val="20"/>
                    </w:rPr>
                    <w:t>hospitals</w:t>
                  </w:r>
                  <w:proofErr w:type="spellEnd"/>
                  <w:r w:rsidRPr="007F75B5">
                    <w:rPr>
                      <w:rFonts w:ascii="Times New Roman" w:eastAsia="Calibri" w:hAnsi="Times New Roman" w:cs="Times New Roman"/>
                      <w:b/>
                      <w:bCs/>
                      <w:sz w:val="20"/>
                      <w:szCs w:val="20"/>
                    </w:rPr>
                    <w:t xml:space="preserve"> </w:t>
                  </w:r>
                  <w:proofErr w:type="spellStart"/>
                  <w:r w:rsidRPr="007F75B5">
                    <w:rPr>
                      <w:rFonts w:ascii="Times New Roman" w:eastAsia="Calibri" w:hAnsi="Times New Roman" w:cs="Times New Roman"/>
                      <w:b/>
                      <w:bCs/>
                      <w:sz w:val="20"/>
                      <w:szCs w:val="20"/>
                    </w:rPr>
                    <w:t>and</w:t>
                  </w:r>
                  <w:proofErr w:type="spellEnd"/>
                  <w:r w:rsidRPr="007F75B5">
                    <w:rPr>
                      <w:rFonts w:ascii="Times New Roman" w:eastAsia="Calibri" w:hAnsi="Times New Roman" w:cs="Times New Roman"/>
                      <w:b/>
                      <w:bCs/>
                      <w:sz w:val="20"/>
                      <w:szCs w:val="20"/>
                    </w:rPr>
                    <w:t xml:space="preserve"> </w:t>
                  </w:r>
                  <w:proofErr w:type="spellStart"/>
                  <w:r w:rsidRPr="007F75B5">
                    <w:rPr>
                      <w:rFonts w:ascii="Times New Roman" w:eastAsia="Calibri" w:hAnsi="Times New Roman" w:cs="Times New Roman"/>
                      <w:b/>
                      <w:bCs/>
                      <w:sz w:val="20"/>
                      <w:szCs w:val="20"/>
                    </w:rPr>
                    <w:t>other</w:t>
                  </w:r>
                  <w:proofErr w:type="spellEnd"/>
                  <w:r w:rsidRPr="007F75B5">
                    <w:rPr>
                      <w:rFonts w:ascii="Times New Roman" w:eastAsia="Calibri" w:hAnsi="Times New Roman" w:cs="Times New Roman"/>
                      <w:b/>
                      <w:bCs/>
                      <w:sz w:val="20"/>
                      <w:szCs w:val="20"/>
                    </w:rPr>
                    <w:t xml:space="preserve"> </w:t>
                  </w:r>
                  <w:proofErr w:type="spellStart"/>
                  <w:r w:rsidRPr="007F75B5">
                    <w:rPr>
                      <w:rFonts w:ascii="Times New Roman" w:eastAsia="Calibri" w:hAnsi="Times New Roman" w:cs="Times New Roman"/>
                      <w:b/>
                      <w:bCs/>
                      <w:sz w:val="20"/>
                      <w:szCs w:val="20"/>
                    </w:rPr>
                    <w:t>buildings</w:t>
                  </w:r>
                  <w:proofErr w:type="spellEnd"/>
                  <w:r w:rsidRPr="007F75B5">
                    <w:rPr>
                      <w:rFonts w:ascii="Times New Roman" w:eastAsia="Calibri" w:hAnsi="Times New Roman" w:cs="Times New Roman"/>
                      <w:b/>
                      <w:bCs/>
                      <w:sz w:val="20"/>
                      <w:szCs w:val="20"/>
                    </w:rPr>
                    <w:t xml:space="preserve"> </w:t>
                  </w:r>
                  <w:proofErr w:type="spellStart"/>
                  <w:r w:rsidRPr="007F75B5">
                    <w:rPr>
                      <w:rFonts w:ascii="Times New Roman" w:eastAsia="Calibri" w:hAnsi="Times New Roman" w:cs="Times New Roman"/>
                      <w:b/>
                      <w:bCs/>
                      <w:sz w:val="20"/>
                      <w:szCs w:val="20"/>
                    </w:rPr>
                    <w:t>for</w:t>
                  </w:r>
                  <w:proofErr w:type="spellEnd"/>
                  <w:r w:rsidRPr="007F75B5">
                    <w:rPr>
                      <w:rFonts w:ascii="Times New Roman" w:eastAsia="Calibri" w:hAnsi="Times New Roman" w:cs="Times New Roman"/>
                      <w:b/>
                      <w:bCs/>
                      <w:sz w:val="20"/>
                      <w:szCs w:val="20"/>
                    </w:rPr>
                    <w:t xml:space="preserve"> </w:t>
                  </w:r>
                  <w:proofErr w:type="spellStart"/>
                  <w:r w:rsidRPr="007F75B5">
                    <w:rPr>
                      <w:rFonts w:ascii="Times New Roman" w:eastAsia="Calibri" w:hAnsi="Times New Roman" w:cs="Times New Roman"/>
                      <w:b/>
                      <w:bCs/>
                      <w:sz w:val="20"/>
                      <w:szCs w:val="20"/>
                    </w:rPr>
                    <w:t>health</w:t>
                  </w:r>
                  <w:proofErr w:type="spellEnd"/>
                  <w:r w:rsidRPr="007F75B5">
                    <w:rPr>
                      <w:rFonts w:ascii="Times New Roman" w:eastAsia="Calibri" w:hAnsi="Times New Roman" w:cs="Times New Roman"/>
                      <w:b/>
                      <w:bCs/>
                      <w:sz w:val="20"/>
                      <w:szCs w:val="20"/>
                    </w:rPr>
                    <w:t xml:space="preserve"> </w:t>
                  </w:r>
                  <w:proofErr w:type="spellStart"/>
                  <w:r w:rsidRPr="007F75B5">
                    <w:rPr>
                      <w:rFonts w:ascii="Times New Roman" w:eastAsia="Calibri" w:hAnsi="Times New Roman" w:cs="Times New Roman"/>
                      <w:b/>
                      <w:bCs/>
                      <w:sz w:val="20"/>
                      <w:szCs w:val="20"/>
                    </w:rPr>
                    <w:t>care</w:t>
                  </w:r>
                  <w:proofErr w:type="spellEnd"/>
                </w:p>
              </w:tc>
              <w:tc>
                <w:tcPr>
                  <w:tcW w:w="1101" w:type="pct"/>
                  <w:tcMar>
                    <w:top w:w="15" w:type="dxa"/>
                    <w:left w:w="15" w:type="dxa"/>
                    <w:bottom w:w="15" w:type="dxa"/>
                    <w:right w:w="15" w:type="dxa"/>
                  </w:tcMar>
                  <w:vAlign w:val="center"/>
                  <w:hideMark/>
                </w:tcPr>
                <w:p w14:paraId="4CE16663" w14:textId="35483EBD" w:rsidR="007F75B5" w:rsidRPr="007F75B5" w:rsidRDefault="007F75B5" w:rsidP="007F75B5">
                  <w:pPr>
                    <w:snapToGrid w:val="0"/>
                    <w:spacing w:before="48" w:after="48"/>
                    <w:rPr>
                      <w:rFonts w:ascii="Times New Roman" w:eastAsia="Calibri" w:hAnsi="Times New Roman" w:cs="Times New Roman"/>
                      <w:sz w:val="20"/>
                      <w:szCs w:val="20"/>
                    </w:rPr>
                  </w:pPr>
                  <w:r w:rsidRPr="007F75B5">
                    <w:rPr>
                      <w:rFonts w:ascii="Times New Roman" w:eastAsia="Calibri" w:hAnsi="Times New Roman" w:cs="Times New Roman"/>
                      <w:b/>
                      <w:bCs/>
                      <w:sz w:val="20"/>
                      <w:szCs w:val="20"/>
                    </w:rPr>
                    <w:t>126</w:t>
                  </w:r>
                </w:p>
              </w:tc>
              <w:tc>
                <w:tcPr>
                  <w:tcW w:w="1130" w:type="pct"/>
                  <w:tcMar>
                    <w:top w:w="15" w:type="dxa"/>
                    <w:left w:w="15" w:type="dxa"/>
                    <w:bottom w:w="15" w:type="dxa"/>
                    <w:right w:w="15" w:type="dxa"/>
                  </w:tcMar>
                </w:tcPr>
                <w:p w14:paraId="7E21BA0E" w14:textId="5DD62A26" w:rsidR="007F75B5" w:rsidRPr="007F75B5" w:rsidRDefault="007F75B5" w:rsidP="006C2EF3">
                  <w:pPr>
                    <w:jc w:val="center"/>
                    <w:rPr>
                      <w:rFonts w:ascii="Times New Roman" w:hAnsi="Times New Roman" w:cs="Times New Roman"/>
                      <w:sz w:val="20"/>
                      <w:szCs w:val="20"/>
                    </w:rPr>
                  </w:pPr>
                  <w:proofErr w:type="spellStart"/>
                  <w:r w:rsidRPr="007F75B5">
                    <w:rPr>
                      <w:rFonts w:ascii="Times New Roman" w:hAnsi="Times New Roman" w:cs="Times New Roman"/>
                      <w:sz w:val="20"/>
                      <w:szCs w:val="20"/>
                    </w:rPr>
                    <w:t>all</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accompanying</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classification</w:t>
                  </w:r>
                  <w:proofErr w:type="spellEnd"/>
                  <w:r w:rsidRPr="007F75B5">
                    <w:rPr>
                      <w:rFonts w:ascii="Times New Roman" w:hAnsi="Times New Roman" w:cs="Times New Roman"/>
                      <w:sz w:val="20"/>
                      <w:szCs w:val="20"/>
                    </w:rPr>
                    <w:t xml:space="preserve"> </w:t>
                  </w:r>
                  <w:proofErr w:type="spellStart"/>
                  <w:r w:rsidRPr="007F75B5">
                    <w:rPr>
                      <w:rFonts w:ascii="Times New Roman" w:hAnsi="Times New Roman" w:cs="Times New Roman"/>
                      <w:sz w:val="20"/>
                      <w:szCs w:val="20"/>
                    </w:rPr>
                    <w:t>numbers</w:t>
                  </w:r>
                  <w:proofErr w:type="spellEnd"/>
                </w:p>
              </w:tc>
            </w:tr>
            <w:tr w:rsidR="009F20E4" w:rsidRPr="007F75B5" w14:paraId="044D4D4A" w14:textId="77777777" w:rsidTr="00321E2E">
              <w:trPr>
                <w:tblCellSpacing w:w="15" w:type="dxa"/>
              </w:trPr>
              <w:tc>
                <w:tcPr>
                  <w:tcW w:w="2697" w:type="pct"/>
                  <w:tcMar>
                    <w:top w:w="15" w:type="dxa"/>
                    <w:left w:w="15" w:type="dxa"/>
                    <w:bottom w:w="15" w:type="dxa"/>
                    <w:right w:w="15" w:type="dxa"/>
                  </w:tcMar>
                </w:tcPr>
                <w:p w14:paraId="6064FB15" w14:textId="21DDD4C3" w:rsidR="009F20E4" w:rsidRPr="007F75B5" w:rsidRDefault="007F75B5" w:rsidP="009F20E4">
                  <w:pPr>
                    <w:snapToGrid w:val="0"/>
                    <w:spacing w:before="48" w:after="48"/>
                    <w:ind w:left="82"/>
                    <w:rPr>
                      <w:rFonts w:ascii="Times New Roman" w:eastAsia="Calibri" w:hAnsi="Times New Roman" w:cs="Times New Roman"/>
                      <w:b/>
                      <w:bCs/>
                      <w:sz w:val="20"/>
                      <w:szCs w:val="20"/>
                    </w:rPr>
                  </w:pPr>
                  <w:r w:rsidRPr="007F75B5">
                    <w:rPr>
                      <w:rFonts w:ascii="Times New Roman" w:hAnsi="Times New Roman" w:cs="Times New Roman"/>
                      <w:b/>
                      <w:sz w:val="20"/>
                      <w:szCs w:val="20"/>
                    </w:rPr>
                    <w:t>OTHER NON-RESIDENTIAL BUILDINGS</w:t>
                  </w:r>
                </w:p>
              </w:tc>
              <w:tc>
                <w:tcPr>
                  <w:tcW w:w="1101" w:type="pct"/>
                  <w:tcMar>
                    <w:top w:w="15" w:type="dxa"/>
                    <w:left w:w="15" w:type="dxa"/>
                    <w:bottom w:w="15" w:type="dxa"/>
                    <w:right w:w="15" w:type="dxa"/>
                  </w:tcMar>
                  <w:vAlign w:val="center"/>
                </w:tcPr>
                <w:p w14:paraId="1D013690" w14:textId="6609E374" w:rsidR="009F20E4" w:rsidRPr="007F75B5" w:rsidRDefault="009F20E4" w:rsidP="007F75B5">
                  <w:pPr>
                    <w:snapToGrid w:val="0"/>
                    <w:spacing w:before="48" w:after="48"/>
                    <w:rPr>
                      <w:rFonts w:ascii="Times New Roman" w:eastAsia="Calibri" w:hAnsi="Times New Roman" w:cs="Times New Roman"/>
                      <w:b/>
                      <w:bCs/>
                      <w:sz w:val="20"/>
                      <w:szCs w:val="20"/>
                    </w:rPr>
                  </w:pPr>
                </w:p>
              </w:tc>
              <w:tc>
                <w:tcPr>
                  <w:tcW w:w="1130" w:type="pct"/>
                  <w:tcMar>
                    <w:top w:w="15" w:type="dxa"/>
                    <w:left w:w="15" w:type="dxa"/>
                    <w:bottom w:w="15" w:type="dxa"/>
                    <w:right w:w="15" w:type="dxa"/>
                  </w:tcMar>
                </w:tcPr>
                <w:p w14:paraId="5296F54C" w14:textId="7C1BCB18" w:rsidR="009F20E4" w:rsidRPr="007F75B5" w:rsidRDefault="009F20E4" w:rsidP="009F20E4">
                  <w:pPr>
                    <w:rPr>
                      <w:rFonts w:ascii="Times New Roman" w:hAnsi="Times New Roman" w:cs="Times New Roman"/>
                      <w:sz w:val="20"/>
                      <w:szCs w:val="20"/>
                    </w:rPr>
                  </w:pPr>
                </w:p>
              </w:tc>
            </w:tr>
            <w:tr w:rsidR="009F20E4" w:rsidRPr="007F75B5" w14:paraId="27CB22A6" w14:textId="77777777" w:rsidTr="00321E2E">
              <w:trPr>
                <w:tblCellSpacing w:w="15" w:type="dxa"/>
              </w:trPr>
              <w:tc>
                <w:tcPr>
                  <w:tcW w:w="2697" w:type="pct"/>
                  <w:tcMar>
                    <w:top w:w="15" w:type="dxa"/>
                    <w:left w:w="15" w:type="dxa"/>
                    <w:bottom w:w="15" w:type="dxa"/>
                    <w:right w:w="15" w:type="dxa"/>
                  </w:tcMar>
                </w:tcPr>
                <w:p w14:paraId="249AB9D8" w14:textId="322F4A63" w:rsidR="009F20E4" w:rsidRPr="007F75B5" w:rsidRDefault="007F75B5" w:rsidP="009F20E4">
                  <w:pPr>
                    <w:snapToGrid w:val="0"/>
                    <w:spacing w:before="48" w:after="48"/>
                    <w:ind w:left="82"/>
                    <w:rPr>
                      <w:rFonts w:ascii="Times New Roman" w:eastAsia="Calibri" w:hAnsi="Times New Roman" w:cs="Times New Roman"/>
                      <w:b/>
                      <w:bCs/>
                      <w:sz w:val="20"/>
                      <w:szCs w:val="20"/>
                    </w:rPr>
                  </w:pPr>
                  <w:proofErr w:type="spellStart"/>
                  <w:r w:rsidRPr="007F75B5">
                    <w:rPr>
                      <w:rFonts w:ascii="Times New Roman" w:hAnsi="Times New Roman" w:cs="Times New Roman"/>
                      <w:b/>
                      <w:sz w:val="20"/>
                      <w:szCs w:val="20"/>
                    </w:rPr>
                    <w:t>Other</w:t>
                  </w:r>
                  <w:proofErr w:type="spellEnd"/>
                  <w:r w:rsidRPr="007F75B5">
                    <w:rPr>
                      <w:rFonts w:ascii="Times New Roman" w:hAnsi="Times New Roman" w:cs="Times New Roman"/>
                      <w:b/>
                      <w:sz w:val="20"/>
                      <w:szCs w:val="20"/>
                    </w:rPr>
                    <w:t xml:space="preserve"> </w:t>
                  </w:r>
                  <w:proofErr w:type="spellStart"/>
                  <w:r w:rsidRPr="007F75B5">
                    <w:rPr>
                      <w:rFonts w:ascii="Times New Roman" w:hAnsi="Times New Roman" w:cs="Times New Roman"/>
                      <w:b/>
                      <w:sz w:val="20"/>
                      <w:szCs w:val="20"/>
                    </w:rPr>
                    <w:t>buildings</w:t>
                  </w:r>
                  <w:proofErr w:type="spellEnd"/>
                  <w:r w:rsidRPr="007F75B5">
                    <w:rPr>
                      <w:rFonts w:ascii="Times New Roman" w:hAnsi="Times New Roman" w:cs="Times New Roman"/>
                      <w:b/>
                      <w:sz w:val="20"/>
                      <w:szCs w:val="20"/>
                    </w:rPr>
                    <w:t xml:space="preserve">, </w:t>
                  </w:r>
                  <w:proofErr w:type="spellStart"/>
                  <w:r w:rsidRPr="007F75B5">
                    <w:rPr>
                      <w:rFonts w:ascii="Times New Roman" w:hAnsi="Times New Roman" w:cs="Times New Roman"/>
                      <w:b/>
                      <w:sz w:val="20"/>
                      <w:szCs w:val="20"/>
                    </w:rPr>
                    <w:t>not</w:t>
                  </w:r>
                  <w:proofErr w:type="spellEnd"/>
                  <w:r w:rsidRPr="007F75B5">
                    <w:rPr>
                      <w:rFonts w:ascii="Times New Roman" w:hAnsi="Times New Roman" w:cs="Times New Roman"/>
                      <w:b/>
                      <w:sz w:val="20"/>
                      <w:szCs w:val="20"/>
                    </w:rPr>
                    <w:t xml:space="preserve"> </w:t>
                  </w:r>
                  <w:proofErr w:type="spellStart"/>
                  <w:r w:rsidRPr="007F75B5">
                    <w:rPr>
                      <w:rFonts w:ascii="Times New Roman" w:hAnsi="Times New Roman" w:cs="Times New Roman"/>
                      <w:b/>
                      <w:sz w:val="20"/>
                      <w:szCs w:val="20"/>
                    </w:rPr>
                    <w:t>elsewhere</w:t>
                  </w:r>
                  <w:proofErr w:type="spellEnd"/>
                  <w:r w:rsidRPr="007F75B5">
                    <w:rPr>
                      <w:rFonts w:ascii="Times New Roman" w:hAnsi="Times New Roman" w:cs="Times New Roman"/>
                      <w:b/>
                      <w:sz w:val="20"/>
                      <w:szCs w:val="20"/>
                    </w:rPr>
                    <w:t xml:space="preserve"> </w:t>
                  </w:r>
                  <w:proofErr w:type="spellStart"/>
                  <w:r w:rsidRPr="007F75B5">
                    <w:rPr>
                      <w:rFonts w:ascii="Times New Roman" w:hAnsi="Times New Roman" w:cs="Times New Roman"/>
                      <w:b/>
                      <w:sz w:val="20"/>
                      <w:szCs w:val="20"/>
                    </w:rPr>
                    <w:t>classified</w:t>
                  </w:r>
                  <w:proofErr w:type="spellEnd"/>
                </w:p>
              </w:tc>
              <w:tc>
                <w:tcPr>
                  <w:tcW w:w="1101" w:type="pct"/>
                  <w:tcMar>
                    <w:top w:w="15" w:type="dxa"/>
                    <w:left w:w="15" w:type="dxa"/>
                    <w:bottom w:w="15" w:type="dxa"/>
                    <w:right w:w="15" w:type="dxa"/>
                  </w:tcMar>
                  <w:vAlign w:val="center"/>
                </w:tcPr>
                <w:p w14:paraId="5ED86284" w14:textId="3ED01776" w:rsidR="009F20E4" w:rsidRPr="007F75B5" w:rsidRDefault="009F20E4" w:rsidP="009F20E4">
                  <w:pPr>
                    <w:snapToGrid w:val="0"/>
                    <w:spacing w:before="48" w:after="48"/>
                    <w:rPr>
                      <w:rFonts w:ascii="Times New Roman" w:eastAsia="Calibri" w:hAnsi="Times New Roman" w:cs="Times New Roman"/>
                      <w:b/>
                      <w:bCs/>
                      <w:sz w:val="20"/>
                      <w:szCs w:val="20"/>
                    </w:rPr>
                  </w:pPr>
                </w:p>
              </w:tc>
              <w:tc>
                <w:tcPr>
                  <w:tcW w:w="1130" w:type="pct"/>
                  <w:tcMar>
                    <w:top w:w="15" w:type="dxa"/>
                    <w:left w:w="15" w:type="dxa"/>
                    <w:bottom w:w="15" w:type="dxa"/>
                    <w:right w:w="15" w:type="dxa"/>
                  </w:tcMar>
                </w:tcPr>
                <w:p w14:paraId="2E4853FF" w14:textId="514B4902" w:rsidR="009F20E4" w:rsidRPr="007F75B5" w:rsidRDefault="009F20E4" w:rsidP="009F20E4">
                  <w:pPr>
                    <w:rPr>
                      <w:rFonts w:ascii="Times New Roman" w:eastAsia="Calibri" w:hAnsi="Times New Roman" w:cs="Times New Roman"/>
                      <w:sz w:val="20"/>
                      <w:szCs w:val="20"/>
                    </w:rPr>
                  </w:pPr>
                </w:p>
              </w:tc>
            </w:tr>
            <w:tr w:rsidR="009F20E4" w:rsidRPr="009F20E4" w14:paraId="063017DC" w14:textId="77777777" w:rsidTr="00321E2E">
              <w:trPr>
                <w:tblCellSpacing w:w="15" w:type="dxa"/>
              </w:trPr>
              <w:tc>
                <w:tcPr>
                  <w:tcW w:w="2697" w:type="pct"/>
                  <w:tcMar>
                    <w:top w:w="15" w:type="dxa"/>
                    <w:left w:w="15" w:type="dxa"/>
                    <w:bottom w:w="15" w:type="dxa"/>
                    <w:right w:w="15" w:type="dxa"/>
                  </w:tcMar>
                </w:tcPr>
                <w:p w14:paraId="011B40F7" w14:textId="77777777" w:rsidR="009F20E4" w:rsidRPr="007F75B5" w:rsidRDefault="009F20E4" w:rsidP="009F20E4">
                  <w:pPr>
                    <w:snapToGrid w:val="0"/>
                    <w:spacing w:before="48" w:after="48"/>
                    <w:ind w:left="82"/>
                    <w:rPr>
                      <w:rFonts w:ascii="Times New Roman" w:eastAsia="Calibri" w:hAnsi="Times New Roman" w:cs="Times New Roman"/>
                      <w:b/>
                      <w:bCs/>
                      <w:sz w:val="20"/>
                      <w:szCs w:val="20"/>
                    </w:rPr>
                  </w:pPr>
                  <w:proofErr w:type="spellStart"/>
                  <w:r w:rsidRPr="007F75B5">
                    <w:rPr>
                      <w:rFonts w:ascii="Times New Roman" w:hAnsi="Times New Roman" w:cs="Times New Roman"/>
                      <w:b/>
                      <w:sz w:val="20"/>
                      <w:szCs w:val="20"/>
                    </w:rPr>
                    <w:t>Barracks</w:t>
                  </w:r>
                  <w:proofErr w:type="spellEnd"/>
                  <w:r w:rsidRPr="007F75B5">
                    <w:rPr>
                      <w:rFonts w:ascii="Times New Roman" w:hAnsi="Times New Roman" w:cs="Times New Roman"/>
                      <w:b/>
                      <w:sz w:val="20"/>
                      <w:szCs w:val="20"/>
                    </w:rPr>
                    <w:t xml:space="preserve"> </w:t>
                  </w:r>
                  <w:proofErr w:type="spellStart"/>
                  <w:r w:rsidRPr="007F75B5">
                    <w:rPr>
                      <w:rFonts w:ascii="Times New Roman" w:hAnsi="Times New Roman" w:cs="Times New Roman"/>
                      <w:b/>
                      <w:sz w:val="20"/>
                      <w:szCs w:val="20"/>
                    </w:rPr>
                    <w:t>and</w:t>
                  </w:r>
                  <w:proofErr w:type="spellEnd"/>
                  <w:r w:rsidRPr="007F75B5">
                    <w:rPr>
                      <w:rFonts w:ascii="Times New Roman" w:hAnsi="Times New Roman" w:cs="Times New Roman"/>
                      <w:b/>
                      <w:sz w:val="20"/>
                      <w:szCs w:val="20"/>
                    </w:rPr>
                    <w:t xml:space="preserve"> </w:t>
                  </w:r>
                  <w:proofErr w:type="spellStart"/>
                  <w:r w:rsidRPr="007F75B5">
                    <w:rPr>
                      <w:rFonts w:ascii="Times New Roman" w:hAnsi="Times New Roman" w:cs="Times New Roman"/>
                      <w:b/>
                      <w:sz w:val="20"/>
                      <w:szCs w:val="20"/>
                    </w:rPr>
                    <w:t>other</w:t>
                  </w:r>
                  <w:proofErr w:type="spellEnd"/>
                  <w:r w:rsidRPr="007F75B5">
                    <w:rPr>
                      <w:rFonts w:ascii="Times New Roman" w:hAnsi="Times New Roman" w:cs="Times New Roman"/>
                      <w:b/>
                      <w:sz w:val="20"/>
                      <w:szCs w:val="20"/>
                    </w:rPr>
                    <w:t xml:space="preserve"> </w:t>
                  </w:r>
                  <w:proofErr w:type="spellStart"/>
                  <w:r w:rsidRPr="007F75B5">
                    <w:rPr>
                      <w:rFonts w:ascii="Times New Roman" w:hAnsi="Times New Roman" w:cs="Times New Roman"/>
                      <w:b/>
                      <w:sz w:val="20"/>
                      <w:szCs w:val="20"/>
                    </w:rPr>
                    <w:t>buildings</w:t>
                  </w:r>
                  <w:proofErr w:type="spellEnd"/>
                  <w:r w:rsidRPr="007F75B5">
                    <w:rPr>
                      <w:rFonts w:ascii="Times New Roman" w:hAnsi="Times New Roman" w:cs="Times New Roman"/>
                      <w:b/>
                      <w:sz w:val="20"/>
                      <w:szCs w:val="20"/>
                    </w:rPr>
                    <w:t xml:space="preserve"> </w:t>
                  </w:r>
                  <w:proofErr w:type="spellStart"/>
                  <w:r w:rsidRPr="007F75B5">
                    <w:rPr>
                      <w:rFonts w:ascii="Times New Roman" w:hAnsi="Times New Roman" w:cs="Times New Roman"/>
                      <w:b/>
                      <w:sz w:val="20"/>
                      <w:szCs w:val="20"/>
                    </w:rPr>
                    <w:t>for</w:t>
                  </w:r>
                  <w:proofErr w:type="spellEnd"/>
                  <w:r w:rsidRPr="007F75B5">
                    <w:rPr>
                      <w:rFonts w:ascii="Times New Roman" w:hAnsi="Times New Roman" w:cs="Times New Roman"/>
                      <w:b/>
                      <w:sz w:val="20"/>
                      <w:szCs w:val="20"/>
                    </w:rPr>
                    <w:t xml:space="preserve"> </w:t>
                  </w:r>
                  <w:proofErr w:type="spellStart"/>
                  <w:r w:rsidRPr="007F75B5">
                    <w:rPr>
                      <w:rFonts w:ascii="Times New Roman" w:hAnsi="Times New Roman" w:cs="Times New Roman"/>
                      <w:b/>
                      <w:sz w:val="20"/>
                      <w:szCs w:val="20"/>
                    </w:rPr>
                    <w:t>the</w:t>
                  </w:r>
                  <w:proofErr w:type="spellEnd"/>
                  <w:r w:rsidRPr="007F75B5">
                    <w:rPr>
                      <w:rFonts w:ascii="Times New Roman" w:hAnsi="Times New Roman" w:cs="Times New Roman"/>
                      <w:b/>
                      <w:sz w:val="20"/>
                      <w:szCs w:val="20"/>
                    </w:rPr>
                    <w:t xml:space="preserve"> </w:t>
                  </w:r>
                  <w:proofErr w:type="spellStart"/>
                  <w:r w:rsidRPr="007F75B5">
                    <w:rPr>
                      <w:rFonts w:ascii="Times New Roman" w:hAnsi="Times New Roman" w:cs="Times New Roman"/>
                      <w:b/>
                      <w:sz w:val="20"/>
                      <w:szCs w:val="20"/>
                    </w:rPr>
                    <w:t>army</w:t>
                  </w:r>
                  <w:proofErr w:type="spellEnd"/>
                  <w:r w:rsidRPr="007F75B5">
                    <w:rPr>
                      <w:rFonts w:ascii="Times New Roman" w:hAnsi="Times New Roman" w:cs="Times New Roman"/>
                      <w:b/>
                      <w:sz w:val="20"/>
                      <w:szCs w:val="20"/>
                    </w:rPr>
                    <w:t xml:space="preserve">, </w:t>
                  </w:r>
                  <w:proofErr w:type="spellStart"/>
                  <w:r w:rsidRPr="007F75B5">
                    <w:rPr>
                      <w:rFonts w:ascii="Times New Roman" w:hAnsi="Times New Roman" w:cs="Times New Roman"/>
                      <w:b/>
                      <w:sz w:val="20"/>
                      <w:szCs w:val="20"/>
                    </w:rPr>
                    <w:t>police</w:t>
                  </w:r>
                  <w:proofErr w:type="spellEnd"/>
                  <w:r w:rsidRPr="007F75B5">
                    <w:rPr>
                      <w:rFonts w:ascii="Times New Roman" w:hAnsi="Times New Roman" w:cs="Times New Roman"/>
                      <w:b/>
                      <w:sz w:val="20"/>
                      <w:szCs w:val="20"/>
                    </w:rPr>
                    <w:t xml:space="preserve"> </w:t>
                  </w:r>
                  <w:proofErr w:type="spellStart"/>
                  <w:r w:rsidRPr="007F75B5">
                    <w:rPr>
                      <w:rFonts w:ascii="Times New Roman" w:hAnsi="Times New Roman" w:cs="Times New Roman"/>
                      <w:b/>
                      <w:sz w:val="20"/>
                      <w:szCs w:val="20"/>
                    </w:rPr>
                    <w:t>or</w:t>
                  </w:r>
                  <w:proofErr w:type="spellEnd"/>
                  <w:r w:rsidRPr="007F75B5">
                    <w:rPr>
                      <w:rFonts w:ascii="Times New Roman" w:hAnsi="Times New Roman" w:cs="Times New Roman"/>
                      <w:b/>
                      <w:sz w:val="20"/>
                      <w:szCs w:val="20"/>
                    </w:rPr>
                    <w:t xml:space="preserve"> </w:t>
                  </w:r>
                  <w:proofErr w:type="spellStart"/>
                  <w:r w:rsidRPr="007F75B5">
                    <w:rPr>
                      <w:rFonts w:ascii="Times New Roman" w:hAnsi="Times New Roman" w:cs="Times New Roman"/>
                      <w:b/>
                      <w:sz w:val="20"/>
                      <w:szCs w:val="20"/>
                    </w:rPr>
                    <w:t>firefighters</w:t>
                  </w:r>
                  <w:proofErr w:type="spellEnd"/>
                </w:p>
              </w:tc>
              <w:tc>
                <w:tcPr>
                  <w:tcW w:w="1101" w:type="pct"/>
                  <w:tcMar>
                    <w:top w:w="15" w:type="dxa"/>
                    <w:left w:w="15" w:type="dxa"/>
                    <w:bottom w:w="15" w:type="dxa"/>
                    <w:right w:w="15" w:type="dxa"/>
                  </w:tcMar>
                  <w:vAlign w:val="center"/>
                </w:tcPr>
                <w:p w14:paraId="0D97E839" w14:textId="77777777" w:rsidR="009F20E4" w:rsidRPr="009F20E4" w:rsidRDefault="009F20E4" w:rsidP="009F20E4">
                  <w:pPr>
                    <w:snapToGrid w:val="0"/>
                    <w:spacing w:before="48" w:after="48"/>
                    <w:rPr>
                      <w:rFonts w:ascii="Times New Roman" w:eastAsia="Calibri" w:hAnsi="Times New Roman" w:cs="Times New Roman"/>
                      <w:b/>
                      <w:bCs/>
                      <w:sz w:val="20"/>
                      <w:szCs w:val="20"/>
                    </w:rPr>
                  </w:pPr>
                  <w:r w:rsidRPr="007F75B5">
                    <w:rPr>
                      <w:rFonts w:ascii="Times New Roman" w:hAnsi="Times New Roman" w:cs="Times New Roman"/>
                      <w:b/>
                      <w:bCs/>
                      <w:sz w:val="20"/>
                      <w:szCs w:val="20"/>
                    </w:rPr>
                    <w:t>127410</w:t>
                  </w:r>
                </w:p>
              </w:tc>
              <w:tc>
                <w:tcPr>
                  <w:tcW w:w="1130" w:type="pct"/>
                  <w:tcMar>
                    <w:top w:w="15" w:type="dxa"/>
                    <w:left w:w="15" w:type="dxa"/>
                    <w:bottom w:w="15" w:type="dxa"/>
                    <w:right w:w="15" w:type="dxa"/>
                  </w:tcMar>
                </w:tcPr>
                <w:p w14:paraId="17B497CB" w14:textId="503CC424" w:rsidR="009F20E4" w:rsidRPr="009F20E4" w:rsidRDefault="009F20E4" w:rsidP="009F20E4">
                  <w:pPr>
                    <w:rPr>
                      <w:rFonts w:ascii="Times New Roman" w:eastAsia="Calibri" w:hAnsi="Times New Roman" w:cs="Times New Roman"/>
                      <w:sz w:val="20"/>
                      <w:szCs w:val="20"/>
                    </w:rPr>
                  </w:pPr>
                </w:p>
              </w:tc>
            </w:tr>
          </w:tbl>
          <w:p w14:paraId="1AF107AE" w14:textId="77777777" w:rsidR="00997B6B" w:rsidRPr="003A3B73" w:rsidRDefault="00997B6B" w:rsidP="0009144A">
            <w:pPr>
              <w:tabs>
                <w:tab w:val="left" w:pos="-1440"/>
              </w:tabs>
              <w:spacing w:after="0"/>
              <w:ind w:right="8"/>
              <w:contextualSpacing/>
              <w:rPr>
                <w:rFonts w:ascii="Times New Roman" w:hAnsi="Times New Roman" w:cs="Times New Roman"/>
                <w:sz w:val="24"/>
                <w:lang w:val="sr-Latn-CS"/>
              </w:rPr>
            </w:pPr>
          </w:p>
          <w:p w14:paraId="4F21EADA" w14:textId="77777777" w:rsidR="009F20E4" w:rsidRPr="009F20E4" w:rsidRDefault="009F20E4" w:rsidP="009F20E4">
            <w:pPr>
              <w:pStyle w:val="ListParagraph"/>
              <w:numPr>
                <w:ilvl w:val="0"/>
                <w:numId w:val="40"/>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b/>
                <w:color w:val="auto"/>
                <w:sz w:val="24"/>
                <w:lang w:val="en-GB"/>
              </w:rPr>
              <w:t xml:space="preserve">Standards and certificates. </w:t>
            </w:r>
            <w:r w:rsidRPr="009F20E4">
              <w:rPr>
                <w:rFonts w:ascii="Times New Roman" w:eastAsia="Times New Roman" w:hAnsi="Times New Roman" w:cs="Times New Roman"/>
                <w:color w:val="auto"/>
                <w:sz w:val="24"/>
                <w:lang w:val="en-GB"/>
              </w:rPr>
              <w:t>Tenderer must hold the following certificates in the area of construction works:</w:t>
            </w:r>
          </w:p>
          <w:p w14:paraId="633B8F93" w14:textId="77777777" w:rsidR="009F20E4" w:rsidRPr="009F20E4" w:rsidRDefault="009F20E4" w:rsidP="009F20E4">
            <w:pPr>
              <w:pStyle w:val="ListParagraph"/>
              <w:numPr>
                <w:ilvl w:val="0"/>
                <w:numId w:val="41"/>
              </w:numPr>
              <w:tabs>
                <w:tab w:val="clear" w:pos="720"/>
              </w:tabs>
              <w:suppressAutoHyphens w:val="0"/>
              <w:spacing w:after="0"/>
              <w:ind w:left="1111"/>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color w:val="auto"/>
                <w:sz w:val="24"/>
                <w:lang w:val="en-GB"/>
              </w:rPr>
              <w:t>ISO 9001:2015 Quality Management System.</w:t>
            </w:r>
          </w:p>
          <w:p w14:paraId="7EFFE732" w14:textId="77777777" w:rsidR="009F20E4" w:rsidRPr="009F20E4" w:rsidRDefault="009F20E4" w:rsidP="009F20E4">
            <w:pPr>
              <w:pStyle w:val="ListParagraph"/>
              <w:numPr>
                <w:ilvl w:val="0"/>
                <w:numId w:val="41"/>
              </w:numPr>
              <w:tabs>
                <w:tab w:val="clear" w:pos="720"/>
              </w:tabs>
              <w:suppressAutoHyphens w:val="0"/>
              <w:spacing w:after="0"/>
              <w:ind w:left="1111"/>
              <w:contextualSpacing/>
              <w:jc w:val="both"/>
              <w:rPr>
                <w:rFonts w:ascii="Times New Roman" w:eastAsia="Times New Roman" w:hAnsi="Times New Roman" w:cs="Times New Roman"/>
                <w:color w:val="auto"/>
                <w:sz w:val="24"/>
                <w:lang w:val="en-GB"/>
              </w:rPr>
            </w:pPr>
            <w:r w:rsidRPr="009F20E4">
              <w:rPr>
                <w:rFonts w:ascii="Times New Roman" w:eastAsia="Times New Roman" w:hAnsi="Times New Roman" w:cs="Times New Roman"/>
                <w:color w:val="auto"/>
                <w:sz w:val="24"/>
                <w:lang w:val="en-GB"/>
              </w:rPr>
              <w:t>ISO 14001:2015  – Environmental Management System</w:t>
            </w:r>
          </w:p>
          <w:p w14:paraId="319B1E4A" w14:textId="783C9DF7" w:rsidR="00877871" w:rsidRPr="009F20E4" w:rsidRDefault="009F20E4" w:rsidP="009F20E4">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9F20E4">
              <w:rPr>
                <w:rFonts w:ascii="Times New Roman" w:eastAsia="Times New Roman" w:hAnsi="Times New Roman" w:cs="Times New Roman"/>
                <w:color w:val="auto"/>
                <w:sz w:val="24"/>
                <w:lang w:val="en-GB"/>
              </w:rPr>
              <w:t>In case of a joint tender: the Lead Member of a joint venture/consortium must independently meet the set criterion</w:t>
            </w:r>
            <w:r w:rsidR="00DB567B" w:rsidRPr="009F20E4">
              <w:rPr>
                <w:rFonts w:ascii="Times New Roman" w:hAnsi="Times New Roman" w:cs="Times New Roman"/>
                <w:sz w:val="24"/>
                <w:szCs w:val="24"/>
                <w:lang w:val="sr-Latn-CS"/>
              </w:rPr>
              <w:t xml:space="preserve">. </w:t>
            </w:r>
          </w:p>
        </w:tc>
      </w:tr>
      <w:tr w:rsidR="002D6E25" w:rsidRPr="003A3B73" w14:paraId="1E0D7A15" w14:textId="77777777" w:rsidTr="00FA28F2">
        <w:trPr>
          <w:trHeight w:val="226"/>
        </w:trPr>
        <w:tc>
          <w:tcPr>
            <w:tcW w:w="311" w:type="pct"/>
            <w:shd w:val="clear" w:color="auto" w:fill="FFFFFF"/>
            <w:tcMar>
              <w:top w:w="0" w:type="dxa"/>
              <w:left w:w="108" w:type="dxa"/>
              <w:bottom w:w="0" w:type="dxa"/>
              <w:right w:w="108" w:type="dxa"/>
            </w:tcMar>
          </w:tcPr>
          <w:p w14:paraId="5AB045C6" w14:textId="0C0CBA8E"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3771A681"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3ACA5405" w14:textId="77777777" w:rsidTr="00FA28F2">
        <w:trPr>
          <w:trHeight w:val="745"/>
        </w:trPr>
        <w:tc>
          <w:tcPr>
            <w:tcW w:w="311" w:type="pct"/>
            <w:shd w:val="clear" w:color="auto" w:fill="FFFFFF"/>
            <w:tcMar>
              <w:top w:w="0" w:type="dxa"/>
              <w:left w:w="108" w:type="dxa"/>
              <w:bottom w:w="0" w:type="dxa"/>
              <w:right w:w="108" w:type="dxa"/>
            </w:tcMar>
          </w:tcPr>
          <w:p w14:paraId="06113B98"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5E27E007" w14:textId="5ACD9418" w:rsidR="002D6E25" w:rsidRPr="003A3B73" w:rsidRDefault="00743AA4" w:rsidP="00DD2F81">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Contract award criterion: </w:t>
            </w:r>
            <w:r w:rsidR="009E33F0" w:rsidRPr="003A3B73">
              <w:rPr>
                <w:rFonts w:ascii="Times New Roman" w:hAnsi="Times New Roman" w:cs="Times New Roman"/>
                <w:sz w:val="24"/>
                <w:szCs w:val="24"/>
                <w:lang w:val="en-GB"/>
              </w:rPr>
              <w:t xml:space="preserve"> </w:t>
            </w:r>
          </w:p>
        </w:tc>
      </w:tr>
      <w:tr w:rsidR="002D6E25" w:rsidRPr="003A3B73" w14:paraId="7624307D" w14:textId="77777777" w:rsidTr="00FA28F2">
        <w:trPr>
          <w:trHeight w:val="394"/>
        </w:trPr>
        <w:tc>
          <w:tcPr>
            <w:tcW w:w="311" w:type="pct"/>
            <w:shd w:val="clear" w:color="auto" w:fill="FFFFFF"/>
            <w:tcMar>
              <w:top w:w="0" w:type="dxa"/>
              <w:left w:w="108" w:type="dxa"/>
              <w:bottom w:w="0" w:type="dxa"/>
              <w:right w:w="108" w:type="dxa"/>
            </w:tcMar>
          </w:tcPr>
          <w:p w14:paraId="7F0617BC"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C6D9F1"/>
            <w:tcMar>
              <w:top w:w="0" w:type="dxa"/>
              <w:left w:w="108" w:type="dxa"/>
              <w:bottom w:w="0" w:type="dxa"/>
              <w:right w:w="108" w:type="dxa"/>
            </w:tcMar>
          </w:tcPr>
          <w:p w14:paraId="46E51E7C" w14:textId="51E4668D" w:rsidR="009F20E4" w:rsidRPr="009F20E4" w:rsidRDefault="009F20E4" w:rsidP="009F20E4">
            <w:pPr>
              <w:rPr>
                <w:rFonts w:ascii="Times New Roman" w:hAnsi="Times New Roman" w:cs="Times New Roman"/>
                <w:sz w:val="24"/>
                <w:szCs w:val="24"/>
                <w:lang w:val="en-GB"/>
              </w:rPr>
            </w:pPr>
            <w:r w:rsidRPr="009F20E4">
              <w:rPr>
                <w:rFonts w:ascii="Times New Roman" w:hAnsi="Times New Roman" w:cs="Times New Roman"/>
                <w:sz w:val="24"/>
                <w:szCs w:val="24"/>
                <w:lang w:val="en-GB"/>
              </w:rPr>
              <w:t>The most economically advantageous tender awarded on the basis of price only (lowest offered price)</w:t>
            </w:r>
          </w:p>
          <w:p w14:paraId="27C971EC" w14:textId="423F149A" w:rsidR="00195FB6" w:rsidRPr="003A3B73" w:rsidRDefault="009F20E4" w:rsidP="009F20E4">
            <w:pPr>
              <w:rPr>
                <w:rFonts w:ascii="Times New Roman" w:hAnsi="Times New Roman" w:cs="Times New Roman"/>
                <w:sz w:val="24"/>
                <w:szCs w:val="24"/>
                <w:lang w:val="en-GB"/>
              </w:rPr>
            </w:pPr>
            <w:r w:rsidRPr="009F20E4">
              <w:rPr>
                <w:rFonts w:ascii="Times New Roman" w:hAnsi="Times New Roman" w:cs="Times New Roman"/>
                <w:sz w:val="24"/>
                <w:szCs w:val="24"/>
                <w:lang w:val="en-GB"/>
              </w:rPr>
              <w:t>If there are two or more tenders with the same price, the advantage will be given to the tenderer who, under technical capacity, proved that he executed works on objects with higher total gross area.</w:t>
            </w:r>
          </w:p>
        </w:tc>
      </w:tr>
      <w:tr w:rsidR="002D6E25" w:rsidRPr="003A3B73" w14:paraId="6FC033DE" w14:textId="77777777" w:rsidTr="00FA28F2">
        <w:trPr>
          <w:trHeight w:val="236"/>
        </w:trPr>
        <w:tc>
          <w:tcPr>
            <w:tcW w:w="311" w:type="pct"/>
            <w:shd w:val="clear" w:color="auto" w:fill="FFFFFF"/>
            <w:tcMar>
              <w:top w:w="0" w:type="dxa"/>
              <w:left w:w="108" w:type="dxa"/>
              <w:bottom w:w="0" w:type="dxa"/>
              <w:right w:w="108" w:type="dxa"/>
            </w:tcMar>
          </w:tcPr>
          <w:p w14:paraId="65652FBB"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75E510BE"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83248" w:rsidRPr="003A3B73" w14:paraId="791EF2AA" w14:textId="77777777" w:rsidTr="00FA28F2">
        <w:trPr>
          <w:trHeight w:val="745"/>
        </w:trPr>
        <w:tc>
          <w:tcPr>
            <w:tcW w:w="311" w:type="pct"/>
            <w:shd w:val="clear" w:color="auto" w:fill="FFFFFF"/>
            <w:tcMar>
              <w:top w:w="0" w:type="dxa"/>
              <w:left w:w="108" w:type="dxa"/>
              <w:bottom w:w="0" w:type="dxa"/>
              <w:right w:w="108" w:type="dxa"/>
            </w:tcMar>
          </w:tcPr>
          <w:p w14:paraId="513AF3E0" w14:textId="77777777" w:rsidR="00283248" w:rsidRPr="003A3B73" w:rsidRDefault="00283248"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5DAAB642" w14:textId="76ECB2A1" w:rsidR="00283248" w:rsidRPr="003A3B73" w:rsidRDefault="00283248" w:rsidP="00B64BE7">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Access to tender dossier:</w:t>
            </w:r>
          </w:p>
        </w:tc>
      </w:tr>
      <w:tr w:rsidR="00283248" w:rsidRPr="003A3B73" w14:paraId="3B7DDCC3" w14:textId="77777777" w:rsidTr="00FA28F2">
        <w:trPr>
          <w:trHeight w:val="394"/>
        </w:trPr>
        <w:tc>
          <w:tcPr>
            <w:tcW w:w="311" w:type="pct"/>
            <w:shd w:val="clear" w:color="auto" w:fill="FFFFFF"/>
            <w:tcMar>
              <w:top w:w="0" w:type="dxa"/>
              <w:left w:w="108" w:type="dxa"/>
              <w:bottom w:w="0" w:type="dxa"/>
              <w:right w:w="108" w:type="dxa"/>
            </w:tcMar>
          </w:tcPr>
          <w:p w14:paraId="33506B28" w14:textId="77777777" w:rsidR="00283248" w:rsidRPr="003A3B73" w:rsidRDefault="00283248" w:rsidP="00B64BE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C6D9F1"/>
            <w:tcMar>
              <w:top w:w="0" w:type="dxa"/>
              <w:left w:w="108" w:type="dxa"/>
              <w:bottom w:w="0" w:type="dxa"/>
              <w:right w:w="108" w:type="dxa"/>
            </w:tcMar>
          </w:tcPr>
          <w:p w14:paraId="6BD08DCA" w14:textId="14952824" w:rsidR="00283248" w:rsidRPr="003A3B73" w:rsidRDefault="00283248" w:rsidP="00283248">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Tenderers can submit their Requests for Receipt of Tender Dossier by e-mail, to the following e-mail address: </w:t>
            </w:r>
            <w:hyperlink r:id="rId11" w:history="1">
              <w:r w:rsidR="009F20E4" w:rsidRPr="00CF46F2">
                <w:rPr>
                  <w:rStyle w:val="Hyperlink"/>
                  <w:rFonts w:ascii="Times New Roman" w:hAnsi="Times New Roman" w:cs="Times New Roman"/>
                  <w:sz w:val="24"/>
                  <w:szCs w:val="24"/>
                  <w:lang w:val="sr-Latn-CS"/>
                </w:rPr>
                <w:t>tatjana.vojvodic@piu.rs</w:t>
              </w:r>
            </w:hyperlink>
            <w:r w:rsidR="006810A9">
              <w:rPr>
                <w:rFonts w:ascii="Times New Roman" w:hAnsi="Times New Roman" w:cs="Times New Roman"/>
                <w:sz w:val="24"/>
                <w:szCs w:val="24"/>
                <w:lang w:val="sr-Latn-CS"/>
              </w:rPr>
              <w:t xml:space="preserve"> </w:t>
            </w:r>
          </w:p>
          <w:p w14:paraId="36B43C66" w14:textId="3ADC7F7C" w:rsidR="00283248" w:rsidRPr="003A3B73" w:rsidRDefault="00283248" w:rsidP="00283248">
            <w:pPr>
              <w:rPr>
                <w:rFonts w:ascii="Times New Roman" w:hAnsi="Times New Roman" w:cs="Times New Roman"/>
                <w:sz w:val="24"/>
                <w:szCs w:val="24"/>
                <w:lang w:val="en-GB"/>
              </w:rPr>
            </w:pPr>
            <w:r w:rsidRPr="003A3B73">
              <w:rPr>
                <w:rFonts w:ascii="Times New Roman" w:hAnsi="Times New Roman" w:cs="Times New Roman"/>
                <w:b/>
                <w:sz w:val="24"/>
                <w:szCs w:val="24"/>
                <w:lang w:val="en-GB"/>
              </w:rPr>
              <w:t>Upon receipt of the request, the Contracting Authority will send Tender Dossier via e-mail, to the address stated in the Request for Receipt of Tender Dossier.</w:t>
            </w:r>
          </w:p>
        </w:tc>
      </w:tr>
      <w:tr w:rsidR="00283248" w:rsidRPr="003A3B73" w14:paraId="09E7B4F2" w14:textId="77777777" w:rsidTr="00FA28F2">
        <w:trPr>
          <w:trHeight w:val="236"/>
        </w:trPr>
        <w:tc>
          <w:tcPr>
            <w:tcW w:w="311" w:type="pct"/>
            <w:shd w:val="clear" w:color="auto" w:fill="FFFFFF"/>
            <w:tcMar>
              <w:top w:w="0" w:type="dxa"/>
              <w:left w:w="108" w:type="dxa"/>
              <w:bottom w:w="0" w:type="dxa"/>
              <w:right w:w="108" w:type="dxa"/>
            </w:tcMar>
          </w:tcPr>
          <w:p w14:paraId="53D3481E" w14:textId="77777777" w:rsidR="00283248" w:rsidRPr="003A3B73" w:rsidRDefault="00283248" w:rsidP="00B64BE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6B8289A7" w14:textId="77777777" w:rsidR="00283248" w:rsidRPr="003A3B73" w:rsidRDefault="00283248" w:rsidP="00B64BE7">
            <w:pPr>
              <w:spacing w:before="60" w:after="60" w:line="240" w:lineRule="auto"/>
              <w:rPr>
                <w:rFonts w:ascii="Times New Roman" w:hAnsi="Times New Roman" w:cs="Times New Roman"/>
                <w:sz w:val="24"/>
                <w:szCs w:val="24"/>
                <w:lang w:val="en-GB"/>
              </w:rPr>
            </w:pPr>
          </w:p>
        </w:tc>
      </w:tr>
      <w:tr w:rsidR="007068F5" w:rsidRPr="003A3B73" w14:paraId="7BA5E326" w14:textId="77777777" w:rsidTr="00FA28F2">
        <w:trPr>
          <w:trHeight w:val="745"/>
        </w:trPr>
        <w:tc>
          <w:tcPr>
            <w:tcW w:w="311" w:type="pct"/>
            <w:shd w:val="clear" w:color="auto" w:fill="FFFFFF"/>
            <w:tcMar>
              <w:top w:w="0" w:type="dxa"/>
              <w:left w:w="108" w:type="dxa"/>
              <w:bottom w:w="0" w:type="dxa"/>
              <w:right w:w="108" w:type="dxa"/>
            </w:tcMar>
          </w:tcPr>
          <w:p w14:paraId="68C7575C" w14:textId="77777777" w:rsidR="007068F5" w:rsidRPr="003A3B73" w:rsidRDefault="007068F5" w:rsidP="00B267F0">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26" w:type="pct"/>
            <w:gridSpan w:val="2"/>
            <w:shd w:val="clear" w:color="auto" w:fill="FFFFFF"/>
            <w:tcMar>
              <w:top w:w="0" w:type="dxa"/>
              <w:left w:w="108" w:type="dxa"/>
              <w:bottom w:w="0" w:type="dxa"/>
              <w:right w:w="108" w:type="dxa"/>
            </w:tcMar>
          </w:tcPr>
          <w:p w14:paraId="426F5796" w14:textId="77777777" w:rsidR="007068F5" w:rsidRPr="00D1359E" w:rsidRDefault="007068F5" w:rsidP="007A1797">
            <w:pPr>
              <w:spacing w:before="60" w:after="60" w:line="240" w:lineRule="auto"/>
              <w:rPr>
                <w:rFonts w:ascii="Times New Roman" w:hAnsi="Times New Roman" w:cs="Times New Roman"/>
                <w:sz w:val="24"/>
                <w:szCs w:val="24"/>
                <w:lang w:val="en-GB"/>
              </w:rPr>
            </w:pPr>
            <w:r w:rsidRPr="00D1359E">
              <w:rPr>
                <w:rFonts w:ascii="Times New Roman" w:hAnsi="Times New Roman" w:cs="Times New Roman"/>
                <w:sz w:val="24"/>
                <w:szCs w:val="24"/>
                <w:lang w:val="en-GB"/>
              </w:rPr>
              <w:t>Tender submission, deadline for submitting the tenders:</w:t>
            </w:r>
          </w:p>
        </w:tc>
        <w:tc>
          <w:tcPr>
            <w:tcW w:w="2963" w:type="pct"/>
            <w:shd w:val="clear" w:color="auto" w:fill="C6D9F1"/>
            <w:tcMar>
              <w:top w:w="0" w:type="dxa"/>
              <w:left w:w="108" w:type="dxa"/>
              <w:bottom w:w="0" w:type="dxa"/>
              <w:right w:w="108" w:type="dxa"/>
            </w:tcMar>
          </w:tcPr>
          <w:p w14:paraId="7B2C335A" w14:textId="37A52E36" w:rsidR="00B267F0" w:rsidRPr="00D1359E" w:rsidRDefault="00B267F0" w:rsidP="00B267F0">
            <w:pPr>
              <w:spacing w:before="60" w:after="60" w:line="240" w:lineRule="auto"/>
              <w:jc w:val="both"/>
              <w:rPr>
                <w:rFonts w:ascii="Times New Roman" w:hAnsi="Times New Roman" w:cs="Times New Roman"/>
                <w:sz w:val="24"/>
                <w:szCs w:val="24"/>
                <w:lang w:val="en-GB"/>
              </w:rPr>
            </w:pPr>
            <w:r w:rsidRPr="00D1359E">
              <w:rPr>
                <w:rFonts w:ascii="Times New Roman" w:hAnsi="Times New Roman" w:cs="Times New Roman"/>
                <w:sz w:val="24"/>
                <w:szCs w:val="24"/>
                <w:lang w:val="en-GB"/>
              </w:rPr>
              <w:t>The Tenderer is advised to visit and inspect the works construction site and its environment (site).</w:t>
            </w:r>
          </w:p>
          <w:p w14:paraId="0F5180D5" w14:textId="0D5CA470" w:rsidR="00083595" w:rsidRPr="00D1359E" w:rsidRDefault="00B267F0" w:rsidP="00B267F0">
            <w:pPr>
              <w:spacing w:before="60" w:after="60" w:line="240" w:lineRule="auto"/>
              <w:jc w:val="both"/>
              <w:rPr>
                <w:rFonts w:ascii="Times New Roman" w:hAnsi="Times New Roman" w:cs="Times New Roman"/>
                <w:sz w:val="24"/>
                <w:szCs w:val="24"/>
                <w:lang w:val="en-GB"/>
              </w:rPr>
            </w:pPr>
            <w:r w:rsidRPr="00D1359E">
              <w:rPr>
                <w:rFonts w:ascii="Times New Roman" w:hAnsi="Times New Roman" w:cs="Times New Roman"/>
                <w:sz w:val="24"/>
                <w:szCs w:val="24"/>
                <w:lang w:val="en-GB"/>
              </w:rPr>
              <w:t>The site visits will be facilitated by the Contracting Authority.</w:t>
            </w:r>
          </w:p>
          <w:p w14:paraId="436F644F" w14:textId="42C35869" w:rsidR="00B267F0" w:rsidRPr="00D1359E" w:rsidRDefault="00B267F0" w:rsidP="00B267F0">
            <w:pPr>
              <w:spacing w:before="60" w:after="60" w:line="240" w:lineRule="auto"/>
              <w:jc w:val="both"/>
              <w:rPr>
                <w:rFonts w:ascii="Times New Roman" w:hAnsi="Times New Roman" w:cs="Times New Roman"/>
                <w:sz w:val="24"/>
                <w:szCs w:val="24"/>
                <w:lang w:val="en-GB"/>
              </w:rPr>
            </w:pPr>
            <w:r w:rsidRPr="00D1359E">
              <w:rPr>
                <w:rFonts w:ascii="Times New Roman" w:hAnsi="Times New Roman" w:cs="Times New Roman"/>
                <w:sz w:val="24"/>
                <w:szCs w:val="24"/>
                <w:lang w:val="en-GB"/>
              </w:rPr>
              <w:t xml:space="preserve">Interested parties must submit applications to the Contracting Authority's via e-mail: </w:t>
            </w:r>
            <w:hyperlink r:id="rId12" w:history="1">
              <w:r w:rsidR="009F20E4" w:rsidRPr="00CF46F2">
                <w:rPr>
                  <w:rStyle w:val="Hyperlink"/>
                  <w:rFonts w:ascii="Times New Roman" w:hAnsi="Times New Roman" w:cs="Times New Roman"/>
                  <w:sz w:val="24"/>
                  <w:szCs w:val="24"/>
                  <w:lang w:val="sr-Latn-CS"/>
                </w:rPr>
                <w:t>tatjana.vojvodic@piu.rs</w:t>
              </w:r>
            </w:hyperlink>
            <w:r w:rsidR="00B94FDB">
              <w:rPr>
                <w:rFonts w:ascii="Times New Roman" w:hAnsi="Times New Roman" w:cs="Times New Roman"/>
                <w:sz w:val="24"/>
                <w:szCs w:val="24"/>
                <w:lang w:val="en-GB"/>
              </w:rPr>
              <w:t xml:space="preserve"> </w:t>
            </w:r>
            <w:r w:rsidRPr="00D1359E">
              <w:rPr>
                <w:rFonts w:ascii="Times New Roman" w:hAnsi="Times New Roman" w:cs="Times New Roman"/>
                <w:sz w:val="24"/>
                <w:szCs w:val="24"/>
                <w:lang w:val="en-GB"/>
              </w:rPr>
              <w:t>which must be received by the Contracting Authority not later than 20 (twenty) days before the tender submission deadline. Site Visit is not possible 15 (fifteen) days before the tender submission deadline.</w:t>
            </w:r>
          </w:p>
          <w:p w14:paraId="116F7345" w14:textId="19B4DCE8" w:rsidR="007068F5" w:rsidRPr="00D1359E" w:rsidRDefault="00B267F0" w:rsidP="00B267F0">
            <w:pPr>
              <w:spacing w:before="60" w:after="60" w:line="240" w:lineRule="auto"/>
              <w:jc w:val="both"/>
              <w:rPr>
                <w:rFonts w:ascii="Times New Roman" w:hAnsi="Times New Roman" w:cs="Times New Roman"/>
                <w:b/>
                <w:sz w:val="24"/>
                <w:szCs w:val="24"/>
                <w:lang w:val="en-GB"/>
              </w:rPr>
            </w:pPr>
            <w:r w:rsidRPr="00D1359E">
              <w:rPr>
                <w:rFonts w:ascii="Times New Roman" w:hAnsi="Times New Roman" w:cs="Times New Roman"/>
                <w:sz w:val="24"/>
                <w:szCs w:val="24"/>
                <w:lang w:val="en-GB"/>
              </w:rPr>
              <w:t>Representatives of the tenderer</w:t>
            </w:r>
            <w:r w:rsidR="006469D7" w:rsidRPr="00D1359E">
              <w:rPr>
                <w:rFonts w:ascii="Times New Roman" w:hAnsi="Times New Roman" w:cs="Times New Roman"/>
                <w:sz w:val="24"/>
                <w:szCs w:val="24"/>
                <w:lang w:val="en-GB"/>
              </w:rPr>
              <w:t>s</w:t>
            </w:r>
            <w:r w:rsidRPr="00D1359E">
              <w:rPr>
                <w:rFonts w:ascii="Times New Roman" w:hAnsi="Times New Roman" w:cs="Times New Roman"/>
                <w:sz w:val="24"/>
                <w:szCs w:val="24"/>
                <w:lang w:val="en-GB"/>
              </w:rPr>
              <w:t xml:space="preserve"> must submit a written authorization to participate in the site visit. One person may represent only one Tenderer.</w:t>
            </w:r>
          </w:p>
        </w:tc>
      </w:tr>
      <w:tr w:rsidR="007068F5" w:rsidRPr="003A3B73" w14:paraId="0CC06AD7" w14:textId="77777777" w:rsidTr="00FA28F2">
        <w:trPr>
          <w:trHeight w:val="218"/>
        </w:trPr>
        <w:tc>
          <w:tcPr>
            <w:tcW w:w="311" w:type="pct"/>
            <w:shd w:val="clear" w:color="auto" w:fill="FFFFFF"/>
            <w:tcMar>
              <w:top w:w="0" w:type="dxa"/>
              <w:left w:w="108" w:type="dxa"/>
              <w:bottom w:w="0" w:type="dxa"/>
              <w:right w:w="108" w:type="dxa"/>
            </w:tcMar>
          </w:tcPr>
          <w:p w14:paraId="260814C7" w14:textId="77777777" w:rsidR="007068F5" w:rsidRPr="003A3B73" w:rsidRDefault="007068F5" w:rsidP="007A179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1F11E665" w14:textId="77777777" w:rsidR="007068F5" w:rsidRPr="003A3B73" w:rsidRDefault="007068F5" w:rsidP="007A1797">
            <w:pPr>
              <w:spacing w:before="60" w:after="60" w:line="240" w:lineRule="auto"/>
              <w:rPr>
                <w:rFonts w:ascii="Times New Roman" w:hAnsi="Times New Roman" w:cs="Times New Roman"/>
                <w:sz w:val="24"/>
                <w:szCs w:val="24"/>
                <w:lang w:val="en-GB"/>
              </w:rPr>
            </w:pPr>
          </w:p>
        </w:tc>
      </w:tr>
      <w:tr w:rsidR="002D6E25" w:rsidRPr="003A3B73" w14:paraId="7B82BF64" w14:textId="77777777" w:rsidTr="00FA28F2">
        <w:trPr>
          <w:trHeight w:val="745"/>
        </w:trPr>
        <w:tc>
          <w:tcPr>
            <w:tcW w:w="311" w:type="pct"/>
            <w:shd w:val="clear" w:color="auto" w:fill="FFFFFF"/>
            <w:tcMar>
              <w:top w:w="0" w:type="dxa"/>
              <w:left w:w="108" w:type="dxa"/>
              <w:bottom w:w="0" w:type="dxa"/>
              <w:right w:w="108" w:type="dxa"/>
            </w:tcMar>
          </w:tcPr>
          <w:p w14:paraId="258ECB93" w14:textId="77777777" w:rsidR="002D6E25" w:rsidRPr="003A3B73" w:rsidRDefault="002D6E25" w:rsidP="007068F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26" w:type="pct"/>
            <w:gridSpan w:val="2"/>
            <w:shd w:val="clear" w:color="auto" w:fill="FFFFFF"/>
            <w:tcMar>
              <w:top w:w="0" w:type="dxa"/>
              <w:left w:w="108" w:type="dxa"/>
              <w:bottom w:w="0" w:type="dxa"/>
              <w:right w:w="108" w:type="dxa"/>
            </w:tcMar>
          </w:tcPr>
          <w:p w14:paraId="72247A7A" w14:textId="4F984620" w:rsidR="002D6E25" w:rsidRPr="003A3B73" w:rsidRDefault="00B467BE" w:rsidP="00B467BE">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Tender submission</w:t>
            </w:r>
            <w:r w:rsidR="002F55CB"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deadline for submitting the tenders</w:t>
            </w:r>
            <w:r w:rsidR="004511C2" w:rsidRPr="003A3B73">
              <w:rPr>
                <w:rFonts w:ascii="Times New Roman" w:hAnsi="Times New Roman" w:cs="Times New Roman"/>
                <w:sz w:val="24"/>
                <w:szCs w:val="24"/>
                <w:lang w:val="en-GB"/>
              </w:rPr>
              <w:t>:</w:t>
            </w:r>
          </w:p>
        </w:tc>
        <w:tc>
          <w:tcPr>
            <w:tcW w:w="2963" w:type="pct"/>
            <w:shd w:val="clear" w:color="auto" w:fill="C6D9F1"/>
            <w:tcMar>
              <w:top w:w="0" w:type="dxa"/>
              <w:left w:w="108" w:type="dxa"/>
              <w:bottom w:w="0" w:type="dxa"/>
              <w:right w:w="108" w:type="dxa"/>
            </w:tcMar>
          </w:tcPr>
          <w:p w14:paraId="7C7B7D5F" w14:textId="64DE5E02" w:rsidR="008F62E9" w:rsidRPr="003A3B73" w:rsidRDefault="00295D31" w:rsidP="00790B38">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Tender should be </w:t>
            </w:r>
            <w:r w:rsidR="002E7AA6" w:rsidRPr="003A3B73">
              <w:rPr>
                <w:rFonts w:ascii="Times New Roman" w:hAnsi="Times New Roman" w:cs="Times New Roman"/>
                <w:sz w:val="24"/>
                <w:szCs w:val="24"/>
                <w:lang w:val="en-GB"/>
              </w:rPr>
              <w:t xml:space="preserve">submitted </w:t>
            </w:r>
            <w:r w:rsidRPr="003A3B73">
              <w:rPr>
                <w:rFonts w:ascii="Times New Roman" w:hAnsi="Times New Roman" w:cs="Times New Roman"/>
                <w:sz w:val="24"/>
                <w:szCs w:val="24"/>
                <w:lang w:val="en-GB"/>
              </w:rPr>
              <w:t>by registered post mail with acknowledgement of receipt or hand-delivered against receipt signed by Contracting Authority</w:t>
            </w:r>
            <w:r w:rsidR="008F62E9" w:rsidRPr="003A3B73">
              <w:rPr>
                <w:rFonts w:ascii="Times New Roman" w:hAnsi="Times New Roman" w:cs="Times New Roman"/>
                <w:sz w:val="24"/>
                <w:szCs w:val="24"/>
                <w:lang w:val="en-GB"/>
              </w:rPr>
              <w:t xml:space="preserve">. </w:t>
            </w:r>
          </w:p>
          <w:p w14:paraId="2885AAD0" w14:textId="01BEE339" w:rsidR="00790B38" w:rsidRPr="003A3B73" w:rsidRDefault="00295D31" w:rsidP="00790B38">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Tender should</w:t>
            </w:r>
            <w:r w:rsidR="002E7AA6" w:rsidRPr="003A3B73">
              <w:rPr>
                <w:rFonts w:ascii="Times New Roman" w:hAnsi="Times New Roman" w:cs="Times New Roman"/>
                <w:sz w:val="24"/>
                <w:szCs w:val="24"/>
                <w:lang w:val="en-GB"/>
              </w:rPr>
              <w:t xml:space="preserve"> be submitted to the following address</w:t>
            </w:r>
            <w:r w:rsidR="00790B38" w:rsidRPr="003A3B73">
              <w:rPr>
                <w:rFonts w:ascii="Times New Roman" w:hAnsi="Times New Roman" w:cs="Times New Roman"/>
                <w:sz w:val="24"/>
                <w:szCs w:val="24"/>
                <w:lang w:val="en-GB"/>
              </w:rPr>
              <w:t xml:space="preserve">: </w:t>
            </w:r>
            <w:r w:rsidR="00291023">
              <w:rPr>
                <w:rFonts w:ascii="Times New Roman" w:hAnsi="Times New Roman" w:cs="Times New Roman"/>
                <w:sz w:val="24"/>
                <w:szCs w:val="24"/>
                <w:lang w:val="en-GB"/>
              </w:rPr>
              <w:t>“</w:t>
            </w:r>
            <w:proofErr w:type="spellStart"/>
            <w:r w:rsidR="00C372AC" w:rsidRPr="003A3B73">
              <w:rPr>
                <w:rFonts w:ascii="Times New Roman" w:hAnsi="Times New Roman" w:cs="Times New Roman"/>
                <w:sz w:val="24"/>
                <w:szCs w:val="24"/>
                <w:lang w:val="en-GB"/>
              </w:rPr>
              <w:t>Jedinica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za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upravlјanje</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projektima</w:t>
            </w:r>
            <w:proofErr w:type="spellEnd"/>
            <w:r w:rsidR="00C372AC" w:rsidRPr="003A3B73">
              <w:rPr>
                <w:rFonts w:ascii="Times New Roman" w:hAnsi="Times New Roman" w:cs="Times New Roman"/>
                <w:sz w:val="24"/>
                <w:szCs w:val="24"/>
                <w:lang w:val="en-GB"/>
              </w:rPr>
              <w:t xml:space="preserve"> u </w:t>
            </w:r>
            <w:proofErr w:type="spellStart"/>
            <w:r w:rsidR="00C372AC" w:rsidRPr="003A3B73">
              <w:rPr>
                <w:rFonts w:ascii="Times New Roman" w:hAnsi="Times New Roman" w:cs="Times New Roman"/>
                <w:sz w:val="24"/>
                <w:szCs w:val="24"/>
                <w:lang w:val="en-GB"/>
              </w:rPr>
              <w:t>javnom</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sektoru</w:t>
            </w:r>
            <w:proofErr w:type="spellEnd"/>
            <w:r w:rsidR="00291023">
              <w:rPr>
                <w:rFonts w:ascii="Times New Roman" w:hAnsi="Times New Roman" w:cs="Times New Roman"/>
                <w:sz w:val="24"/>
                <w:szCs w:val="24"/>
                <w:lang w:val="en-GB"/>
              </w:rPr>
              <w:t>”</w:t>
            </w:r>
            <w:r w:rsidR="00C372AC" w:rsidRPr="003A3B73">
              <w:rPr>
                <w:rFonts w:ascii="Times New Roman" w:hAnsi="Times New Roman" w:cs="Times New Roman"/>
                <w:sz w:val="24"/>
                <w:szCs w:val="24"/>
                <w:lang w:val="en-GB"/>
              </w:rPr>
              <w:t xml:space="preserve"> d.o.o. Beograd,</w:t>
            </w:r>
            <w:r w:rsidR="00FA28F2">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Veljka</w:t>
            </w:r>
            <w:proofErr w:type="spellEnd"/>
            <w:r w:rsidR="00790B38"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Dugoševića</w:t>
            </w:r>
            <w:proofErr w:type="spellEnd"/>
            <w:r w:rsidR="00790B38" w:rsidRPr="003A3B73">
              <w:rPr>
                <w:rFonts w:ascii="Times New Roman" w:hAnsi="Times New Roman" w:cs="Times New Roman"/>
                <w:sz w:val="24"/>
                <w:szCs w:val="24"/>
                <w:lang w:val="en-GB"/>
              </w:rPr>
              <w:t xml:space="preserve"> 54, </w:t>
            </w:r>
            <w:r w:rsidR="003300D2" w:rsidRPr="003A3B73">
              <w:rPr>
                <w:rFonts w:ascii="Times New Roman" w:hAnsi="Times New Roman" w:cs="Times New Roman"/>
                <w:sz w:val="24"/>
                <w:szCs w:val="24"/>
                <w:lang w:val="en-GB"/>
              </w:rPr>
              <w:t>fifth</w:t>
            </w:r>
            <w:r w:rsidR="002E7AA6" w:rsidRPr="003A3B73">
              <w:rPr>
                <w:rFonts w:ascii="Times New Roman" w:hAnsi="Times New Roman" w:cs="Times New Roman"/>
                <w:sz w:val="24"/>
                <w:szCs w:val="24"/>
                <w:lang w:val="en-GB"/>
              </w:rPr>
              <w:t xml:space="preserve"> floor</w:t>
            </w:r>
            <w:r w:rsidR="00E22072" w:rsidRPr="003A3B73">
              <w:rPr>
                <w:rFonts w:ascii="Times New Roman" w:hAnsi="Times New Roman" w:cs="Times New Roman"/>
                <w:sz w:val="24"/>
                <w:szCs w:val="24"/>
                <w:lang w:val="en-GB"/>
              </w:rPr>
              <w:t xml:space="preserve"> </w:t>
            </w:r>
            <w:r w:rsidR="002E7AA6" w:rsidRPr="003A3B73">
              <w:rPr>
                <w:rFonts w:ascii="Times New Roman" w:hAnsi="Times New Roman" w:cs="Times New Roman"/>
                <w:sz w:val="24"/>
                <w:szCs w:val="24"/>
                <w:lang w:val="en-GB"/>
              </w:rPr>
              <w:t>–</w:t>
            </w:r>
            <w:r w:rsidR="00E22072" w:rsidRPr="003A3B73">
              <w:rPr>
                <w:rFonts w:ascii="Times New Roman" w:hAnsi="Times New Roman" w:cs="Times New Roman"/>
                <w:sz w:val="24"/>
                <w:szCs w:val="24"/>
                <w:lang w:val="en-GB"/>
              </w:rPr>
              <w:t xml:space="preserve"> </w:t>
            </w:r>
            <w:r w:rsidR="002E7AA6" w:rsidRPr="003A3B73">
              <w:rPr>
                <w:rFonts w:ascii="Times New Roman" w:hAnsi="Times New Roman" w:cs="Times New Roman"/>
                <w:sz w:val="24"/>
                <w:szCs w:val="24"/>
                <w:lang w:val="en-GB"/>
              </w:rPr>
              <w:t>registry office</w:t>
            </w:r>
            <w:r w:rsidR="00790B38" w:rsidRPr="003A3B73">
              <w:rPr>
                <w:rFonts w:ascii="Times New Roman" w:hAnsi="Times New Roman" w:cs="Times New Roman"/>
                <w:sz w:val="24"/>
                <w:szCs w:val="24"/>
                <w:lang w:val="en-GB"/>
              </w:rPr>
              <w:t xml:space="preserve">, 11000, </w:t>
            </w:r>
            <w:r w:rsidR="002E7AA6" w:rsidRPr="003A3B73">
              <w:rPr>
                <w:rFonts w:ascii="Times New Roman" w:hAnsi="Times New Roman" w:cs="Times New Roman"/>
                <w:sz w:val="24"/>
                <w:szCs w:val="24"/>
                <w:lang w:val="en-GB"/>
              </w:rPr>
              <w:t>Belgrade</w:t>
            </w:r>
            <w:r w:rsidR="00790B38" w:rsidRPr="003A3B73">
              <w:rPr>
                <w:rFonts w:ascii="Times New Roman" w:hAnsi="Times New Roman" w:cs="Times New Roman"/>
                <w:sz w:val="24"/>
                <w:szCs w:val="24"/>
                <w:lang w:val="en-GB"/>
              </w:rPr>
              <w:t xml:space="preserve">, </w:t>
            </w:r>
            <w:r w:rsidR="002E7AA6" w:rsidRPr="003A3B73">
              <w:rPr>
                <w:rFonts w:ascii="Times New Roman" w:hAnsi="Times New Roman" w:cs="Times New Roman"/>
                <w:sz w:val="24"/>
                <w:szCs w:val="24"/>
                <w:lang w:val="en-GB"/>
              </w:rPr>
              <w:t>Serbia</w:t>
            </w:r>
            <w:r w:rsidR="008F62E9" w:rsidRPr="003A3B73">
              <w:rPr>
                <w:rFonts w:ascii="Times New Roman" w:hAnsi="Times New Roman" w:cs="Times New Roman"/>
                <w:sz w:val="24"/>
                <w:szCs w:val="24"/>
                <w:lang w:val="en-GB"/>
              </w:rPr>
              <w:t>.</w:t>
            </w:r>
          </w:p>
          <w:p w14:paraId="2AF6A66F" w14:textId="68D0C8AF" w:rsidR="008D0286" w:rsidRPr="003A3B73" w:rsidRDefault="002E7AA6" w:rsidP="00790B38">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If the tender is </w:t>
            </w:r>
            <w:r w:rsidR="00295D31" w:rsidRPr="003A3B73">
              <w:rPr>
                <w:rFonts w:ascii="Times New Roman" w:hAnsi="Times New Roman" w:cs="Times New Roman"/>
                <w:sz w:val="24"/>
                <w:szCs w:val="24"/>
                <w:lang w:val="en-GB"/>
              </w:rPr>
              <w:t>hand-delivered</w:t>
            </w:r>
            <w:r w:rsidR="00790B38"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address for submitting is</w:t>
            </w:r>
            <w:r w:rsidR="00E0203F"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Jedinica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za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upravlјanje</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projektima</w:t>
            </w:r>
            <w:proofErr w:type="spellEnd"/>
            <w:r w:rsidR="00C372AC" w:rsidRPr="003A3B73">
              <w:rPr>
                <w:rFonts w:ascii="Times New Roman" w:hAnsi="Times New Roman" w:cs="Times New Roman"/>
                <w:sz w:val="24"/>
                <w:szCs w:val="24"/>
                <w:lang w:val="en-GB"/>
              </w:rPr>
              <w:t xml:space="preserve"> </w:t>
            </w:r>
            <w:r w:rsidR="00FA28F2">
              <w:rPr>
                <w:rFonts w:ascii="Times New Roman" w:hAnsi="Times New Roman" w:cs="Times New Roman"/>
                <w:sz w:val="24"/>
                <w:szCs w:val="24"/>
                <w:lang w:val="en-GB"/>
              </w:rPr>
              <w:t xml:space="preserve">u </w:t>
            </w:r>
            <w:proofErr w:type="spellStart"/>
            <w:r w:rsidR="00FA28F2">
              <w:rPr>
                <w:rFonts w:ascii="Times New Roman" w:hAnsi="Times New Roman" w:cs="Times New Roman"/>
                <w:sz w:val="24"/>
                <w:szCs w:val="24"/>
                <w:lang w:val="en-GB"/>
              </w:rPr>
              <w:t>javnom</w:t>
            </w:r>
            <w:proofErr w:type="spellEnd"/>
            <w:r w:rsidR="00FA28F2">
              <w:rPr>
                <w:rFonts w:ascii="Times New Roman" w:hAnsi="Times New Roman" w:cs="Times New Roman"/>
                <w:sz w:val="24"/>
                <w:szCs w:val="24"/>
                <w:lang w:val="en-GB"/>
              </w:rPr>
              <w:t xml:space="preserve"> </w:t>
            </w:r>
            <w:proofErr w:type="spellStart"/>
            <w:r w:rsidR="00FA28F2">
              <w:rPr>
                <w:rFonts w:ascii="Times New Roman" w:hAnsi="Times New Roman" w:cs="Times New Roman"/>
                <w:sz w:val="24"/>
                <w:szCs w:val="24"/>
                <w:lang w:val="en-GB"/>
              </w:rPr>
              <w:t>sektoru</w:t>
            </w:r>
            <w:proofErr w:type="spellEnd"/>
            <w:r w:rsidR="00FA28F2">
              <w:rPr>
                <w:rFonts w:ascii="Times New Roman" w:hAnsi="Times New Roman" w:cs="Times New Roman"/>
                <w:sz w:val="24"/>
                <w:szCs w:val="24"/>
                <w:lang w:val="en-GB"/>
              </w:rPr>
              <w:t xml:space="preserve"> d.o.o. Beograd, </w:t>
            </w:r>
            <w:proofErr w:type="spellStart"/>
            <w:r w:rsidR="00F5074E" w:rsidRPr="003A3B73">
              <w:rPr>
                <w:rFonts w:ascii="Times New Roman" w:hAnsi="Times New Roman" w:cs="Times New Roman"/>
                <w:sz w:val="24"/>
                <w:szCs w:val="24"/>
                <w:lang w:val="en-GB"/>
              </w:rPr>
              <w:t>Veljka</w:t>
            </w:r>
            <w:proofErr w:type="spellEnd"/>
            <w:r w:rsidR="00790B38"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Dugoševića</w:t>
            </w:r>
            <w:proofErr w:type="spellEnd"/>
            <w:r w:rsidR="00790B38" w:rsidRPr="003A3B73">
              <w:rPr>
                <w:rFonts w:ascii="Times New Roman" w:hAnsi="Times New Roman" w:cs="Times New Roman"/>
                <w:sz w:val="24"/>
                <w:szCs w:val="24"/>
                <w:lang w:val="en-GB"/>
              </w:rPr>
              <w:t xml:space="preserve"> 54, </w:t>
            </w:r>
            <w:r w:rsidR="00295D31" w:rsidRPr="003A3B73">
              <w:rPr>
                <w:rFonts w:ascii="Times New Roman" w:hAnsi="Times New Roman" w:cs="Times New Roman"/>
                <w:sz w:val="24"/>
                <w:szCs w:val="24"/>
                <w:lang w:val="en-GB"/>
              </w:rPr>
              <w:t>fifth</w:t>
            </w:r>
            <w:r w:rsidRPr="003A3B73">
              <w:rPr>
                <w:rFonts w:ascii="Times New Roman" w:hAnsi="Times New Roman" w:cs="Times New Roman"/>
                <w:sz w:val="24"/>
                <w:szCs w:val="24"/>
                <w:lang w:val="en-GB"/>
              </w:rPr>
              <w:t xml:space="preserve"> floor</w:t>
            </w:r>
            <w:r w:rsidR="00B24B43"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w:t>
            </w:r>
            <w:r w:rsidR="00B24B43"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registry office</w:t>
            </w:r>
            <w:r w:rsidR="00790B38" w:rsidRPr="003A3B73">
              <w:rPr>
                <w:rFonts w:ascii="Times New Roman" w:hAnsi="Times New Roman" w:cs="Times New Roman"/>
                <w:sz w:val="24"/>
                <w:szCs w:val="24"/>
                <w:lang w:val="en-GB"/>
              </w:rPr>
              <w:t xml:space="preserve">, 11000, </w:t>
            </w:r>
            <w:r w:rsidRPr="003A3B73">
              <w:rPr>
                <w:rFonts w:ascii="Times New Roman" w:hAnsi="Times New Roman" w:cs="Times New Roman"/>
                <w:sz w:val="24"/>
                <w:szCs w:val="24"/>
                <w:lang w:val="en-GB"/>
              </w:rPr>
              <w:t>Belgrade</w:t>
            </w:r>
            <w:r w:rsidR="00790B38"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Serbia, in the period from</w:t>
            </w:r>
            <w:r w:rsidR="00BE6E6A">
              <w:rPr>
                <w:rFonts w:ascii="Times New Roman" w:hAnsi="Times New Roman" w:cs="Times New Roman"/>
                <w:sz w:val="24"/>
                <w:szCs w:val="24"/>
                <w:lang w:val="en-GB"/>
              </w:rPr>
              <w:t xml:space="preserve"> 09:00h </w:t>
            </w:r>
            <w:r w:rsidRPr="003A3B73">
              <w:rPr>
                <w:rFonts w:ascii="Times New Roman" w:hAnsi="Times New Roman" w:cs="Times New Roman"/>
                <w:sz w:val="24"/>
                <w:szCs w:val="24"/>
                <w:lang w:val="en-GB"/>
              </w:rPr>
              <w:t>to</w:t>
            </w:r>
            <w:r w:rsidR="0097229E">
              <w:rPr>
                <w:rFonts w:ascii="Times New Roman" w:hAnsi="Times New Roman" w:cs="Times New Roman"/>
                <w:sz w:val="24"/>
                <w:szCs w:val="24"/>
                <w:lang w:val="en-GB"/>
              </w:rPr>
              <w:t xml:space="preserve"> 15:3</w:t>
            </w:r>
            <w:r w:rsidR="00790B38" w:rsidRPr="003A3B73">
              <w:rPr>
                <w:rFonts w:ascii="Times New Roman" w:hAnsi="Times New Roman" w:cs="Times New Roman"/>
                <w:sz w:val="24"/>
                <w:szCs w:val="24"/>
                <w:lang w:val="en-GB"/>
              </w:rPr>
              <w:t>0h.</w:t>
            </w:r>
          </w:p>
          <w:p w14:paraId="02A127DB" w14:textId="571B3BF9" w:rsidR="002D6E25" w:rsidRPr="003A3B73" w:rsidRDefault="002E7AA6" w:rsidP="00BE6E6A">
            <w:pPr>
              <w:spacing w:before="60" w:after="60" w:line="240" w:lineRule="auto"/>
              <w:jc w:val="both"/>
              <w:rPr>
                <w:rFonts w:ascii="Times New Roman" w:hAnsi="Times New Roman" w:cs="Times New Roman"/>
                <w:b/>
                <w:sz w:val="24"/>
                <w:szCs w:val="24"/>
                <w:lang w:val="en-GB"/>
              </w:rPr>
            </w:pPr>
            <w:r w:rsidRPr="003A3B73">
              <w:rPr>
                <w:rFonts w:ascii="Times New Roman" w:hAnsi="Times New Roman" w:cs="Times New Roman"/>
                <w:b/>
                <w:sz w:val="24"/>
                <w:szCs w:val="24"/>
                <w:lang w:val="en-GB"/>
              </w:rPr>
              <w:t>Final deadline for submi</w:t>
            </w:r>
            <w:r w:rsidR="00295D31" w:rsidRPr="003A3B73">
              <w:rPr>
                <w:rFonts w:ascii="Times New Roman" w:hAnsi="Times New Roman" w:cs="Times New Roman"/>
                <w:b/>
                <w:sz w:val="24"/>
                <w:szCs w:val="24"/>
                <w:lang w:val="en-GB"/>
              </w:rPr>
              <w:t xml:space="preserve">ssion of </w:t>
            </w:r>
            <w:r w:rsidRPr="003A3B73">
              <w:rPr>
                <w:rFonts w:ascii="Times New Roman" w:hAnsi="Times New Roman" w:cs="Times New Roman"/>
                <w:b/>
                <w:sz w:val="24"/>
                <w:szCs w:val="24"/>
                <w:lang w:val="en-GB"/>
              </w:rPr>
              <w:t>tenders is</w:t>
            </w:r>
            <w:r w:rsidR="00D3164D">
              <w:rPr>
                <w:rFonts w:ascii="Times New Roman" w:hAnsi="Times New Roman" w:cs="Times New Roman"/>
                <w:b/>
                <w:sz w:val="24"/>
                <w:szCs w:val="24"/>
                <w:lang w:val="en-GB"/>
              </w:rPr>
              <w:t xml:space="preserve">: </w:t>
            </w:r>
            <w:r w:rsidR="00820BBD" w:rsidRPr="00820BBD">
              <w:rPr>
                <w:rFonts w:ascii="Times New Roman" w:hAnsi="Times New Roman" w:cs="Times New Roman"/>
                <w:b/>
                <w:sz w:val="24"/>
                <w:szCs w:val="24"/>
                <w:lang w:val="en-GB"/>
              </w:rPr>
              <w:t>26</w:t>
            </w:r>
            <w:r w:rsidR="00BE6E6A" w:rsidRPr="00820BBD">
              <w:rPr>
                <w:rFonts w:ascii="Times New Roman" w:hAnsi="Times New Roman" w:cs="Times New Roman"/>
                <w:b/>
                <w:sz w:val="24"/>
                <w:szCs w:val="24"/>
                <w:lang w:val="en-GB"/>
              </w:rPr>
              <w:t>.11.2020</w:t>
            </w:r>
            <w:r w:rsidR="003C3F8A" w:rsidRPr="008340F0">
              <w:rPr>
                <w:rFonts w:ascii="Times New Roman" w:hAnsi="Times New Roman" w:cs="Times New Roman"/>
                <w:b/>
                <w:sz w:val="24"/>
                <w:szCs w:val="24"/>
                <w:lang w:val="en-GB"/>
              </w:rPr>
              <w:t>, until 10:00 am.</w:t>
            </w:r>
          </w:p>
        </w:tc>
      </w:tr>
      <w:tr w:rsidR="002D6E25" w:rsidRPr="003A3B73" w14:paraId="043B65A5" w14:textId="77777777" w:rsidTr="00FA28F2">
        <w:trPr>
          <w:trHeight w:val="218"/>
        </w:trPr>
        <w:tc>
          <w:tcPr>
            <w:tcW w:w="311" w:type="pct"/>
            <w:shd w:val="clear" w:color="auto" w:fill="FFFFFF"/>
            <w:tcMar>
              <w:top w:w="0" w:type="dxa"/>
              <w:left w:w="108" w:type="dxa"/>
              <w:bottom w:w="0" w:type="dxa"/>
              <w:right w:w="108" w:type="dxa"/>
            </w:tcMar>
          </w:tcPr>
          <w:p w14:paraId="61F5606E"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1D814B8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6EFE5E53" w14:textId="77777777" w:rsidTr="00FA28F2">
        <w:trPr>
          <w:trHeight w:val="699"/>
        </w:trPr>
        <w:tc>
          <w:tcPr>
            <w:tcW w:w="311" w:type="pct"/>
            <w:shd w:val="clear" w:color="auto" w:fill="FFFFFF"/>
            <w:tcMar>
              <w:top w:w="0" w:type="dxa"/>
              <w:left w:w="108" w:type="dxa"/>
              <w:bottom w:w="0" w:type="dxa"/>
              <w:right w:w="108" w:type="dxa"/>
            </w:tcMar>
          </w:tcPr>
          <w:p w14:paraId="75B7181F" w14:textId="77777777" w:rsidR="002D6E25" w:rsidRPr="003A3B73" w:rsidRDefault="002D6E25" w:rsidP="007068F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26" w:type="pct"/>
            <w:gridSpan w:val="2"/>
            <w:shd w:val="clear" w:color="auto" w:fill="FFFFFF"/>
            <w:tcMar>
              <w:top w:w="0" w:type="dxa"/>
              <w:left w:w="108" w:type="dxa"/>
              <w:bottom w:w="0" w:type="dxa"/>
              <w:right w:w="108" w:type="dxa"/>
            </w:tcMar>
          </w:tcPr>
          <w:p w14:paraId="0C254B69" w14:textId="1702CA3F" w:rsidR="002D6E25" w:rsidRPr="003A3B73" w:rsidRDefault="002E7AA6" w:rsidP="002E7AA6">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Tender opening session</w:t>
            </w:r>
            <w:r w:rsidR="002F55CB" w:rsidRPr="003A3B73">
              <w:rPr>
                <w:rFonts w:ascii="Times New Roman" w:hAnsi="Times New Roman" w:cs="Times New Roman"/>
                <w:sz w:val="24"/>
                <w:szCs w:val="24"/>
                <w:lang w:val="en-GB"/>
              </w:rPr>
              <w:t xml:space="preserve"> – </w:t>
            </w:r>
            <w:r w:rsidRPr="003A3B73">
              <w:rPr>
                <w:rFonts w:ascii="Times New Roman" w:hAnsi="Times New Roman" w:cs="Times New Roman"/>
                <w:sz w:val="24"/>
                <w:szCs w:val="24"/>
                <w:lang w:val="en-GB"/>
              </w:rPr>
              <w:t>date</w:t>
            </w:r>
            <w:r w:rsidR="002F55CB"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time and place</w:t>
            </w:r>
            <w:r w:rsidR="004511C2" w:rsidRPr="003A3B73">
              <w:rPr>
                <w:rFonts w:ascii="Times New Roman" w:hAnsi="Times New Roman" w:cs="Times New Roman"/>
                <w:sz w:val="24"/>
                <w:szCs w:val="24"/>
                <w:lang w:val="en-GB"/>
              </w:rPr>
              <w:t>:</w:t>
            </w:r>
          </w:p>
        </w:tc>
        <w:tc>
          <w:tcPr>
            <w:tcW w:w="2963" w:type="pct"/>
            <w:shd w:val="clear" w:color="auto" w:fill="C6D9F1"/>
            <w:tcMar>
              <w:top w:w="0" w:type="dxa"/>
              <w:left w:w="108" w:type="dxa"/>
              <w:bottom w:w="0" w:type="dxa"/>
              <w:right w:w="108" w:type="dxa"/>
            </w:tcMar>
          </w:tcPr>
          <w:p w14:paraId="0534EF44" w14:textId="71F3D07C" w:rsidR="00295D31" w:rsidRPr="001B4FBC" w:rsidRDefault="000D5DAB" w:rsidP="00295D31">
            <w:pPr>
              <w:spacing w:before="60" w:after="6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Tender opening shall be held </w:t>
            </w:r>
            <w:r w:rsidRPr="001B4FBC">
              <w:rPr>
                <w:rFonts w:ascii="Times New Roman" w:hAnsi="Times New Roman" w:cs="Times New Roman"/>
                <w:b/>
                <w:sz w:val="24"/>
                <w:szCs w:val="24"/>
                <w:lang w:val="en-GB"/>
              </w:rPr>
              <w:t xml:space="preserve">on </w:t>
            </w:r>
            <w:r w:rsidR="00820BBD" w:rsidRPr="00820BBD">
              <w:rPr>
                <w:rFonts w:ascii="Times New Roman" w:hAnsi="Times New Roman" w:cs="Times New Roman"/>
                <w:b/>
                <w:sz w:val="24"/>
                <w:szCs w:val="24"/>
                <w:lang w:val="en-GB"/>
              </w:rPr>
              <w:t>26</w:t>
            </w:r>
            <w:r w:rsidR="00BE6E6A" w:rsidRPr="00820BBD">
              <w:rPr>
                <w:rFonts w:ascii="Times New Roman" w:hAnsi="Times New Roman" w:cs="Times New Roman"/>
                <w:b/>
                <w:sz w:val="24"/>
                <w:szCs w:val="24"/>
                <w:lang w:val="en-GB"/>
              </w:rPr>
              <w:t>.11.2020</w:t>
            </w:r>
            <w:r w:rsidR="0071199E" w:rsidRPr="001B4FBC">
              <w:rPr>
                <w:rFonts w:ascii="Times New Roman" w:hAnsi="Times New Roman" w:cs="Times New Roman"/>
                <w:b/>
                <w:sz w:val="24"/>
                <w:szCs w:val="24"/>
                <w:lang w:val="en-GB"/>
              </w:rPr>
              <w:t>, at 11:00 am.</w:t>
            </w:r>
          </w:p>
          <w:p w14:paraId="22B759D7" w14:textId="56D453A3" w:rsidR="002D6E25" w:rsidRPr="003A3B73" w:rsidRDefault="002E63CE" w:rsidP="00295D31">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In the premises of</w:t>
            </w:r>
            <w:r w:rsidR="008F62E9"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Jedinica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za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upravlјanje</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projektima</w:t>
            </w:r>
            <w:proofErr w:type="spellEnd"/>
            <w:r w:rsidR="00C372AC" w:rsidRPr="003A3B73">
              <w:rPr>
                <w:rFonts w:ascii="Times New Roman" w:hAnsi="Times New Roman" w:cs="Times New Roman"/>
                <w:sz w:val="24"/>
                <w:szCs w:val="24"/>
                <w:lang w:val="en-GB"/>
              </w:rPr>
              <w:t xml:space="preserve"> u </w:t>
            </w:r>
            <w:proofErr w:type="spellStart"/>
            <w:r w:rsidR="00C372AC" w:rsidRPr="003A3B73">
              <w:rPr>
                <w:rFonts w:ascii="Times New Roman" w:hAnsi="Times New Roman" w:cs="Times New Roman"/>
                <w:sz w:val="24"/>
                <w:szCs w:val="24"/>
                <w:lang w:val="en-GB"/>
              </w:rPr>
              <w:t>javnom</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sektoru</w:t>
            </w:r>
            <w:proofErr w:type="spellEnd"/>
            <w:r w:rsidR="00C372AC" w:rsidRPr="003A3B73">
              <w:rPr>
                <w:rFonts w:ascii="Times New Roman" w:hAnsi="Times New Roman" w:cs="Times New Roman"/>
                <w:sz w:val="24"/>
                <w:szCs w:val="24"/>
                <w:lang w:val="en-GB"/>
              </w:rPr>
              <w:t xml:space="preserve"> d.o.o. Beograd</w:t>
            </w:r>
            <w:r w:rsidR="005F770E" w:rsidRPr="003A3B73">
              <w:rPr>
                <w:rFonts w:ascii="Times New Roman" w:hAnsi="Times New Roman" w:cs="Times New Roman"/>
                <w:sz w:val="24"/>
                <w:szCs w:val="24"/>
                <w:lang w:val="en-GB"/>
              </w:rPr>
              <w:t xml:space="preserve">, </w:t>
            </w:r>
            <w:proofErr w:type="spellStart"/>
            <w:r w:rsidR="005F770E" w:rsidRPr="003A3B73">
              <w:rPr>
                <w:rFonts w:ascii="Times New Roman" w:hAnsi="Times New Roman" w:cs="Times New Roman"/>
                <w:sz w:val="24"/>
                <w:szCs w:val="24"/>
                <w:lang w:val="en-GB"/>
              </w:rPr>
              <w:t>Veljka</w:t>
            </w:r>
            <w:proofErr w:type="spellEnd"/>
            <w:r w:rsidR="008F62E9"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Dugoševića</w:t>
            </w:r>
            <w:proofErr w:type="spellEnd"/>
            <w:r w:rsidR="008F62E9" w:rsidRPr="003A3B73">
              <w:rPr>
                <w:rFonts w:ascii="Times New Roman" w:hAnsi="Times New Roman" w:cs="Times New Roman"/>
                <w:sz w:val="24"/>
                <w:szCs w:val="24"/>
                <w:lang w:val="en-GB"/>
              </w:rPr>
              <w:t xml:space="preserve"> 54</w:t>
            </w:r>
            <w:r w:rsidR="00295D31"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Belgrade</w:t>
            </w:r>
            <w:r w:rsidR="00E736BD" w:rsidRPr="003A3B73">
              <w:rPr>
                <w:rFonts w:ascii="Times New Roman" w:hAnsi="Times New Roman" w:cs="Times New Roman"/>
                <w:sz w:val="24"/>
                <w:szCs w:val="24"/>
                <w:lang w:val="en-GB"/>
              </w:rPr>
              <w:t>.</w:t>
            </w:r>
          </w:p>
        </w:tc>
      </w:tr>
      <w:tr w:rsidR="002D6E25" w:rsidRPr="003A3B73" w14:paraId="77C326E0" w14:textId="77777777" w:rsidTr="00FA28F2">
        <w:trPr>
          <w:trHeight w:val="232"/>
        </w:trPr>
        <w:tc>
          <w:tcPr>
            <w:tcW w:w="311" w:type="pct"/>
            <w:shd w:val="clear" w:color="auto" w:fill="FFFFFF"/>
            <w:tcMar>
              <w:top w:w="0" w:type="dxa"/>
              <w:left w:w="108" w:type="dxa"/>
              <w:bottom w:w="0" w:type="dxa"/>
              <w:right w:w="108" w:type="dxa"/>
            </w:tcMar>
          </w:tcPr>
          <w:p w14:paraId="2F759276"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4C80798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465B1B5B" w14:textId="77777777" w:rsidTr="00FA28F2">
        <w:trPr>
          <w:trHeight w:val="510"/>
        </w:trPr>
        <w:tc>
          <w:tcPr>
            <w:tcW w:w="311" w:type="pct"/>
            <w:shd w:val="clear" w:color="auto" w:fill="FFFFFF"/>
            <w:tcMar>
              <w:top w:w="0" w:type="dxa"/>
              <w:left w:w="108" w:type="dxa"/>
              <w:bottom w:w="0" w:type="dxa"/>
              <w:right w:w="108" w:type="dxa"/>
            </w:tcMar>
          </w:tcPr>
          <w:p w14:paraId="14B762BA" w14:textId="77777777" w:rsidR="002D6E25" w:rsidRPr="003A3B73" w:rsidRDefault="002D6E25" w:rsidP="007068F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5A533D14" w14:textId="1161BD10" w:rsidR="002D6E25" w:rsidRPr="003A3B73" w:rsidRDefault="00417F09" w:rsidP="00417F09">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Conditions for participation at the tender opening session</w:t>
            </w:r>
            <w:r w:rsidR="004511C2" w:rsidRPr="003A3B73">
              <w:rPr>
                <w:rFonts w:ascii="Times New Roman" w:hAnsi="Times New Roman" w:cs="Times New Roman"/>
                <w:sz w:val="24"/>
                <w:szCs w:val="24"/>
                <w:lang w:val="en-GB"/>
              </w:rPr>
              <w:t>:</w:t>
            </w:r>
          </w:p>
        </w:tc>
      </w:tr>
      <w:tr w:rsidR="002D6E25" w:rsidRPr="003A3B73" w14:paraId="274FF276" w14:textId="77777777" w:rsidTr="00FA28F2">
        <w:trPr>
          <w:trHeight w:val="1450"/>
        </w:trPr>
        <w:tc>
          <w:tcPr>
            <w:tcW w:w="311" w:type="pct"/>
            <w:shd w:val="clear" w:color="auto" w:fill="FFFFFF"/>
            <w:tcMar>
              <w:top w:w="0" w:type="dxa"/>
              <w:left w:w="108" w:type="dxa"/>
              <w:bottom w:w="0" w:type="dxa"/>
              <w:right w:w="108" w:type="dxa"/>
            </w:tcMar>
          </w:tcPr>
          <w:p w14:paraId="30354BE6"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C6D9F1"/>
            <w:tcMar>
              <w:top w:w="0" w:type="dxa"/>
              <w:left w:w="108" w:type="dxa"/>
              <w:bottom w:w="0" w:type="dxa"/>
              <w:right w:w="108" w:type="dxa"/>
            </w:tcMar>
          </w:tcPr>
          <w:p w14:paraId="07AD883B" w14:textId="24B9D54A" w:rsidR="002D6E25" w:rsidRPr="003A3B73" w:rsidRDefault="00DD5D59" w:rsidP="00204EFC">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Contracting Authority shall open the tenders publicly and tender opening session can be attended by any interested person, at time and place specified in this </w:t>
            </w:r>
            <w:r w:rsidR="00204EFC" w:rsidRPr="003A3B73">
              <w:rPr>
                <w:rFonts w:ascii="Times New Roman" w:hAnsi="Times New Roman" w:cs="Times New Roman"/>
                <w:sz w:val="24"/>
                <w:szCs w:val="24"/>
                <w:lang w:val="en-GB"/>
              </w:rPr>
              <w:t>Tender N</w:t>
            </w:r>
            <w:r w:rsidRPr="003A3B73">
              <w:rPr>
                <w:rFonts w:ascii="Times New Roman" w:hAnsi="Times New Roman" w:cs="Times New Roman"/>
                <w:sz w:val="24"/>
                <w:szCs w:val="24"/>
                <w:lang w:val="en-GB"/>
              </w:rPr>
              <w:t xml:space="preserve">otice and Instructions to tenderers. In tender opening session, only the authorized tenderers` </w:t>
            </w:r>
            <w:r w:rsidR="000910B1" w:rsidRPr="003A3B73">
              <w:rPr>
                <w:rFonts w:ascii="Times New Roman" w:hAnsi="Times New Roman" w:cs="Times New Roman"/>
                <w:sz w:val="24"/>
                <w:szCs w:val="24"/>
                <w:lang w:val="en-GB"/>
              </w:rPr>
              <w:t xml:space="preserve">representatives can participate actively, in which case they are obliged to submit the authorization for attending and signing, as well as to sign the document by which they confirm their presence. </w:t>
            </w:r>
          </w:p>
        </w:tc>
      </w:tr>
      <w:tr w:rsidR="002D6E25" w:rsidRPr="003A3B73" w14:paraId="1EC420F0" w14:textId="77777777" w:rsidTr="00FA28F2">
        <w:trPr>
          <w:trHeight w:val="238"/>
        </w:trPr>
        <w:tc>
          <w:tcPr>
            <w:tcW w:w="311" w:type="pct"/>
            <w:shd w:val="clear" w:color="auto" w:fill="FFFFFF"/>
            <w:tcMar>
              <w:top w:w="0" w:type="dxa"/>
              <w:left w:w="108" w:type="dxa"/>
              <w:bottom w:w="0" w:type="dxa"/>
              <w:right w:w="108" w:type="dxa"/>
            </w:tcMar>
          </w:tcPr>
          <w:p w14:paraId="4115671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6D20CF7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492F9463" w14:textId="77777777" w:rsidTr="00FA28F2">
        <w:trPr>
          <w:trHeight w:val="699"/>
        </w:trPr>
        <w:tc>
          <w:tcPr>
            <w:tcW w:w="311" w:type="pct"/>
            <w:shd w:val="clear" w:color="auto" w:fill="FFFFFF"/>
            <w:tcMar>
              <w:top w:w="0" w:type="dxa"/>
              <w:left w:w="108" w:type="dxa"/>
              <w:bottom w:w="0" w:type="dxa"/>
              <w:right w:w="108" w:type="dxa"/>
            </w:tcMar>
          </w:tcPr>
          <w:p w14:paraId="653051DB" w14:textId="77777777" w:rsidR="002D6E25" w:rsidRPr="003A3B73" w:rsidRDefault="002D6E25" w:rsidP="007068F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26" w:type="pct"/>
            <w:gridSpan w:val="2"/>
            <w:shd w:val="clear" w:color="auto" w:fill="FFFFFF"/>
            <w:tcMar>
              <w:top w:w="0" w:type="dxa"/>
              <w:left w:w="108" w:type="dxa"/>
              <w:bottom w:w="0" w:type="dxa"/>
              <w:right w:w="108" w:type="dxa"/>
            </w:tcMar>
          </w:tcPr>
          <w:p w14:paraId="09C12105" w14:textId="15AD40A6" w:rsidR="002D6E25" w:rsidRPr="003A3B73" w:rsidRDefault="007D0CE7" w:rsidP="007D0CE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Deadline for delivering the decision on contract award</w:t>
            </w:r>
            <w:r w:rsidR="004511C2" w:rsidRPr="003A3B73">
              <w:rPr>
                <w:rFonts w:ascii="Times New Roman" w:hAnsi="Times New Roman" w:cs="Times New Roman"/>
                <w:sz w:val="24"/>
                <w:szCs w:val="24"/>
                <w:lang w:val="en-GB"/>
              </w:rPr>
              <w:t>:</w:t>
            </w:r>
          </w:p>
        </w:tc>
        <w:tc>
          <w:tcPr>
            <w:tcW w:w="2963" w:type="pct"/>
            <w:shd w:val="clear" w:color="auto" w:fill="C6D9F1"/>
            <w:tcMar>
              <w:top w:w="0" w:type="dxa"/>
              <w:left w:w="108" w:type="dxa"/>
              <w:bottom w:w="0" w:type="dxa"/>
              <w:right w:w="108" w:type="dxa"/>
            </w:tcMar>
          </w:tcPr>
          <w:p w14:paraId="511C63DA" w14:textId="692910E6" w:rsidR="002D6E25" w:rsidRPr="003A3B73" w:rsidRDefault="00140192" w:rsidP="007D0CE7">
            <w:pPr>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lang w:val="en-GB"/>
              </w:rPr>
              <w:t>2021</w:t>
            </w:r>
            <w:bookmarkStart w:id="0" w:name="_GoBack"/>
            <w:bookmarkEnd w:id="0"/>
          </w:p>
        </w:tc>
      </w:tr>
      <w:tr w:rsidR="002D6E25" w:rsidRPr="003A3B73" w14:paraId="344E81AD" w14:textId="77777777" w:rsidTr="00FA28F2">
        <w:trPr>
          <w:trHeight w:val="238"/>
        </w:trPr>
        <w:tc>
          <w:tcPr>
            <w:tcW w:w="311" w:type="pct"/>
            <w:shd w:val="clear" w:color="auto" w:fill="FFFFFF"/>
            <w:tcMar>
              <w:top w:w="0" w:type="dxa"/>
              <w:left w:w="108" w:type="dxa"/>
              <w:bottom w:w="0" w:type="dxa"/>
              <w:right w:w="108" w:type="dxa"/>
            </w:tcMar>
          </w:tcPr>
          <w:p w14:paraId="415C6CE9"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FFFFFF"/>
            <w:tcMar>
              <w:top w:w="0" w:type="dxa"/>
              <w:left w:w="108" w:type="dxa"/>
              <w:bottom w:w="0" w:type="dxa"/>
              <w:right w:w="108" w:type="dxa"/>
            </w:tcMar>
          </w:tcPr>
          <w:p w14:paraId="11CB0369"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083F35" w:rsidRPr="003A3B73" w14:paraId="29A5DA1F" w14:textId="77777777" w:rsidTr="00FA28F2">
        <w:trPr>
          <w:trHeight w:val="699"/>
        </w:trPr>
        <w:tc>
          <w:tcPr>
            <w:tcW w:w="311" w:type="pct"/>
            <w:shd w:val="clear" w:color="auto" w:fill="FFFFFF"/>
            <w:tcMar>
              <w:top w:w="0" w:type="dxa"/>
              <w:left w:w="108" w:type="dxa"/>
              <w:bottom w:w="0" w:type="dxa"/>
              <w:right w:w="108" w:type="dxa"/>
            </w:tcMar>
          </w:tcPr>
          <w:p w14:paraId="42D19BF8" w14:textId="77777777" w:rsidR="00083F35" w:rsidRPr="003A3B73" w:rsidRDefault="00083F35" w:rsidP="007068F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26" w:type="pct"/>
            <w:gridSpan w:val="2"/>
            <w:shd w:val="clear" w:color="auto" w:fill="FFFFFF"/>
            <w:tcMar>
              <w:top w:w="0" w:type="dxa"/>
              <w:left w:w="108" w:type="dxa"/>
              <w:bottom w:w="0" w:type="dxa"/>
              <w:right w:w="108" w:type="dxa"/>
            </w:tcMar>
          </w:tcPr>
          <w:p w14:paraId="7E5955ED" w14:textId="7E510776" w:rsidR="00083F35" w:rsidRPr="003A3B73" w:rsidRDefault="007D0CE7"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Contact</w:t>
            </w:r>
            <w:r w:rsidR="00083F35" w:rsidRPr="003A3B73">
              <w:rPr>
                <w:rFonts w:ascii="Times New Roman" w:hAnsi="Times New Roman" w:cs="Times New Roman"/>
                <w:sz w:val="24"/>
                <w:szCs w:val="24"/>
                <w:lang w:val="en-GB"/>
              </w:rPr>
              <w:t>:</w:t>
            </w:r>
          </w:p>
        </w:tc>
        <w:tc>
          <w:tcPr>
            <w:tcW w:w="2963" w:type="pct"/>
            <w:shd w:val="clear" w:color="auto" w:fill="C6D9F1"/>
            <w:tcMar>
              <w:top w:w="0" w:type="dxa"/>
              <w:left w:w="108" w:type="dxa"/>
              <w:bottom w:w="0" w:type="dxa"/>
              <w:right w:w="108" w:type="dxa"/>
            </w:tcMar>
          </w:tcPr>
          <w:p w14:paraId="4B7C8289" w14:textId="77777777" w:rsidR="00C372AC" w:rsidRPr="003A3B73" w:rsidRDefault="00C372AC" w:rsidP="00CC084F">
            <w:pPr>
              <w:spacing w:before="60" w:after="60" w:line="240" w:lineRule="auto"/>
              <w:rPr>
                <w:rFonts w:ascii="Times New Roman" w:hAnsi="Times New Roman" w:cs="Times New Roman"/>
                <w:sz w:val="24"/>
                <w:szCs w:val="24"/>
                <w:lang w:val="en-GB"/>
              </w:rPr>
            </w:pPr>
            <w:proofErr w:type="spellStart"/>
            <w:r w:rsidRPr="003A3B73">
              <w:rPr>
                <w:rFonts w:ascii="Times New Roman" w:hAnsi="Times New Roman" w:cs="Times New Roman"/>
                <w:sz w:val="24"/>
                <w:szCs w:val="24"/>
                <w:lang w:val="en-GB"/>
              </w:rPr>
              <w:t>Jedinica</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za</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upravlјanje</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projektima</w:t>
            </w:r>
            <w:proofErr w:type="spellEnd"/>
            <w:r w:rsidRPr="003A3B73">
              <w:rPr>
                <w:rFonts w:ascii="Times New Roman" w:hAnsi="Times New Roman" w:cs="Times New Roman"/>
                <w:sz w:val="24"/>
                <w:szCs w:val="24"/>
                <w:lang w:val="en-GB"/>
              </w:rPr>
              <w:t xml:space="preserve"> u </w:t>
            </w:r>
            <w:proofErr w:type="spellStart"/>
            <w:r w:rsidRPr="003A3B73">
              <w:rPr>
                <w:rFonts w:ascii="Times New Roman" w:hAnsi="Times New Roman" w:cs="Times New Roman"/>
                <w:sz w:val="24"/>
                <w:szCs w:val="24"/>
                <w:lang w:val="en-GB"/>
              </w:rPr>
              <w:t>javnom</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sektoru</w:t>
            </w:r>
            <w:proofErr w:type="spellEnd"/>
            <w:r w:rsidRPr="003A3B73">
              <w:rPr>
                <w:rFonts w:ascii="Times New Roman" w:hAnsi="Times New Roman" w:cs="Times New Roman"/>
                <w:sz w:val="24"/>
                <w:szCs w:val="24"/>
                <w:lang w:val="en-GB"/>
              </w:rPr>
              <w:t xml:space="preserve"> d.o.o. Beograd,</w:t>
            </w:r>
          </w:p>
          <w:p w14:paraId="4282A94D" w14:textId="312B4101" w:rsidR="00CC084F" w:rsidRPr="003A3B73" w:rsidRDefault="00295D31" w:rsidP="00D1359E">
            <w:pPr>
              <w:spacing w:before="60" w:after="60" w:line="240" w:lineRule="auto"/>
              <w:rPr>
                <w:rFonts w:ascii="Times New Roman" w:hAnsi="Times New Roman" w:cs="Times New Roman"/>
                <w:lang w:val="fr-FR"/>
              </w:rPr>
            </w:pPr>
            <w:r w:rsidRPr="003A3B73">
              <w:rPr>
                <w:rFonts w:ascii="Times New Roman" w:hAnsi="Times New Roman" w:cs="Times New Roman"/>
                <w:sz w:val="24"/>
                <w:szCs w:val="24"/>
              </w:rPr>
              <w:lastRenderedPageBreak/>
              <w:t>e-mail</w:t>
            </w:r>
            <w:r w:rsidRPr="005F66A2">
              <w:rPr>
                <w:rFonts w:ascii="Times New Roman" w:hAnsi="Times New Roman" w:cs="Times New Roman"/>
                <w:sz w:val="24"/>
                <w:szCs w:val="24"/>
              </w:rPr>
              <w:t>:</w:t>
            </w:r>
            <w:r w:rsidRPr="005F66A2">
              <w:rPr>
                <w:rFonts w:ascii="Times New Roman" w:hAnsi="Times New Roman" w:cs="Times New Roman"/>
                <w:sz w:val="24"/>
                <w:szCs w:val="24"/>
                <w:lang w:val="sr-Latn-CS"/>
              </w:rPr>
              <w:t xml:space="preserve"> </w:t>
            </w:r>
            <w:hyperlink r:id="rId13" w:history="1">
              <w:r w:rsidR="00C960AD" w:rsidRPr="00CF46F2">
                <w:rPr>
                  <w:rStyle w:val="Hyperlink"/>
                  <w:rFonts w:ascii="Times New Roman" w:hAnsi="Times New Roman" w:cs="Times New Roman"/>
                  <w:sz w:val="24"/>
                  <w:szCs w:val="24"/>
                  <w:lang w:val="sr-Latn-CS"/>
                </w:rPr>
                <w:t>tatjana.vojvodic@piu.rs</w:t>
              </w:r>
            </w:hyperlink>
            <w:r w:rsidR="006810A9">
              <w:rPr>
                <w:rFonts w:ascii="Times New Roman" w:hAnsi="Times New Roman" w:cs="Times New Roman"/>
                <w:sz w:val="24"/>
                <w:szCs w:val="24"/>
                <w:lang w:val="sr-Latn-CS"/>
              </w:rPr>
              <w:t xml:space="preserve"> </w:t>
            </w:r>
          </w:p>
        </w:tc>
      </w:tr>
      <w:tr w:rsidR="002D6E25" w:rsidRPr="003A3B73" w14:paraId="68990680" w14:textId="77777777" w:rsidTr="00FA28F2">
        <w:tc>
          <w:tcPr>
            <w:tcW w:w="311" w:type="pct"/>
            <w:shd w:val="clear" w:color="auto" w:fill="FFFFFF"/>
            <w:tcMar>
              <w:top w:w="0" w:type="dxa"/>
              <w:left w:w="108" w:type="dxa"/>
              <w:bottom w:w="0" w:type="dxa"/>
              <w:right w:w="108" w:type="dxa"/>
            </w:tcMar>
          </w:tcPr>
          <w:p w14:paraId="5AADA75C"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89" w:type="pct"/>
            <w:gridSpan w:val="3"/>
            <w:shd w:val="clear" w:color="auto" w:fill="FFFFFF"/>
            <w:tcMar>
              <w:top w:w="0" w:type="dxa"/>
              <w:left w:w="108" w:type="dxa"/>
              <w:bottom w:w="0" w:type="dxa"/>
              <w:right w:w="108" w:type="dxa"/>
            </w:tcMar>
          </w:tcPr>
          <w:p w14:paraId="52FA54EE" w14:textId="77777777" w:rsidR="002D6E25" w:rsidRPr="003A3B73" w:rsidRDefault="002D6E25" w:rsidP="009C6217">
            <w:pPr>
              <w:spacing w:before="60" w:after="60" w:line="240" w:lineRule="auto"/>
              <w:rPr>
                <w:rFonts w:ascii="Times New Roman" w:hAnsi="Times New Roman" w:cs="Times New Roman"/>
                <w:sz w:val="24"/>
                <w:szCs w:val="24"/>
                <w:lang w:val="fr-FR"/>
              </w:rPr>
            </w:pPr>
          </w:p>
        </w:tc>
      </w:tr>
      <w:tr w:rsidR="002D6E25" w:rsidRPr="003A3B73" w14:paraId="13F6083E" w14:textId="77777777" w:rsidTr="00FA28F2">
        <w:tc>
          <w:tcPr>
            <w:tcW w:w="311" w:type="pct"/>
            <w:shd w:val="clear" w:color="auto" w:fill="FFFFFF"/>
            <w:tcMar>
              <w:top w:w="0" w:type="dxa"/>
              <w:left w:w="108" w:type="dxa"/>
              <w:bottom w:w="0" w:type="dxa"/>
              <w:right w:w="108" w:type="dxa"/>
            </w:tcMar>
          </w:tcPr>
          <w:p w14:paraId="519B46BF" w14:textId="77777777" w:rsidR="002D6E25" w:rsidRPr="003A3B73" w:rsidRDefault="002D6E25" w:rsidP="007068F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89" w:type="pct"/>
            <w:gridSpan w:val="3"/>
            <w:shd w:val="clear" w:color="auto" w:fill="FFFFFF"/>
            <w:tcMar>
              <w:top w:w="0" w:type="dxa"/>
              <w:left w:w="108" w:type="dxa"/>
              <w:bottom w:w="0" w:type="dxa"/>
              <w:right w:w="108" w:type="dxa"/>
            </w:tcMar>
          </w:tcPr>
          <w:p w14:paraId="4CF5FCF4" w14:textId="3CDE8BF1" w:rsidR="002D6E25" w:rsidRPr="003A3B73" w:rsidRDefault="007D0CE7"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Other information</w:t>
            </w:r>
            <w:r w:rsidR="004511C2" w:rsidRPr="003A3B73">
              <w:rPr>
                <w:rFonts w:ascii="Times New Roman" w:hAnsi="Times New Roman" w:cs="Times New Roman"/>
                <w:sz w:val="24"/>
                <w:szCs w:val="24"/>
                <w:lang w:val="en-GB"/>
              </w:rPr>
              <w:t>:</w:t>
            </w:r>
          </w:p>
        </w:tc>
      </w:tr>
      <w:tr w:rsidR="009B341F" w:rsidRPr="005F770E" w14:paraId="697F58C1" w14:textId="77777777" w:rsidTr="00FA28F2">
        <w:trPr>
          <w:trHeight w:val="1371"/>
        </w:trPr>
        <w:tc>
          <w:tcPr>
            <w:tcW w:w="311" w:type="pct"/>
            <w:shd w:val="clear" w:color="auto" w:fill="FFFFFF"/>
            <w:tcMar>
              <w:top w:w="0" w:type="dxa"/>
              <w:left w:w="108" w:type="dxa"/>
              <w:bottom w:w="0" w:type="dxa"/>
              <w:right w:w="108" w:type="dxa"/>
            </w:tcMar>
          </w:tcPr>
          <w:p w14:paraId="60A6DFB4" w14:textId="77777777" w:rsidR="009B341F" w:rsidRPr="003A3B73"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9" w:type="pct"/>
            <w:gridSpan w:val="3"/>
            <w:shd w:val="clear" w:color="auto" w:fill="C6D9F1"/>
            <w:tcMar>
              <w:top w:w="0" w:type="dxa"/>
              <w:left w:w="108" w:type="dxa"/>
              <w:bottom w:w="0" w:type="dxa"/>
              <w:right w:w="108" w:type="dxa"/>
            </w:tcMar>
          </w:tcPr>
          <w:p w14:paraId="1A1568A5" w14:textId="2845B69B" w:rsidR="009B341F" w:rsidRPr="003A3B73" w:rsidRDefault="005F770E" w:rsidP="00E077CB">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Procurements</w:t>
            </w:r>
            <w:r w:rsidR="0066443A" w:rsidRPr="003A3B73">
              <w:rPr>
                <w:rFonts w:ascii="Times New Roman" w:hAnsi="Times New Roman" w:cs="Times New Roman"/>
                <w:sz w:val="24"/>
                <w:szCs w:val="24"/>
                <w:lang w:val="en-GB"/>
              </w:rPr>
              <w:t xml:space="preserve"> of goods</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 xml:space="preserve">works and services financed by the Regional Housing Programme </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in the Republic of Serbia</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have been prepared</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 xml:space="preserve">awarded and organized in cooperation with the partner countries and </w:t>
            </w:r>
            <w:r w:rsidR="009B341F" w:rsidRPr="003A3B73">
              <w:rPr>
                <w:rFonts w:ascii="Times New Roman" w:hAnsi="Times New Roman" w:cs="Times New Roman"/>
                <w:sz w:val="24"/>
                <w:szCs w:val="24"/>
                <w:lang w:val="en-GB"/>
              </w:rPr>
              <w:t xml:space="preserve"> </w:t>
            </w:r>
            <w:r w:rsidR="00F5074E" w:rsidRPr="003A3B73">
              <w:rPr>
                <w:rFonts w:ascii="Times New Roman" w:hAnsi="Times New Roman" w:cs="Times New Roman"/>
                <w:sz w:val="24"/>
                <w:szCs w:val="24"/>
                <w:lang w:val="en-GB"/>
              </w:rPr>
              <w:t>CEB</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Guidelines for Procurement of Supplies, Works and Services</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published on the website</w:t>
            </w:r>
            <w:r w:rsidR="009B341F" w:rsidRPr="003A3B73">
              <w:rPr>
                <w:rFonts w:ascii="Times New Roman" w:hAnsi="Times New Roman" w:cs="Times New Roman"/>
                <w:sz w:val="24"/>
                <w:szCs w:val="24"/>
                <w:lang w:val="en-GB"/>
              </w:rPr>
              <w:t>:</w:t>
            </w:r>
          </w:p>
          <w:p w14:paraId="425C4993" w14:textId="4772DDA1" w:rsidR="009B341F" w:rsidRPr="005F770E" w:rsidRDefault="00445022" w:rsidP="00E077CB">
            <w:pPr>
              <w:spacing w:before="60" w:after="60" w:line="240" w:lineRule="auto"/>
              <w:jc w:val="both"/>
              <w:rPr>
                <w:rFonts w:ascii="Times New Roman" w:hAnsi="Times New Roman" w:cs="Times New Roman"/>
                <w:sz w:val="24"/>
                <w:szCs w:val="24"/>
                <w:lang w:val="en-GB"/>
              </w:rPr>
            </w:pPr>
            <w:hyperlink r:id="rId14" w:history="1">
              <w:r w:rsidR="00FC4BCB" w:rsidRPr="00B25AAE">
                <w:rPr>
                  <w:rStyle w:val="Hyperlink"/>
                  <w:rFonts w:ascii="Times New Roman" w:hAnsi="Times New Roman" w:cs="Times New Roman"/>
                  <w:sz w:val="24"/>
                  <w:szCs w:val="24"/>
                  <w:lang w:val="sr-Latn-CS"/>
                </w:rPr>
                <w:t>http://www.coebank.org/en/about/policies-and-guidelines/projects-and-loans-policies-and-guidelines/</w:t>
              </w:r>
            </w:hyperlink>
          </w:p>
        </w:tc>
      </w:tr>
    </w:tbl>
    <w:p w14:paraId="337B99B0" w14:textId="77777777" w:rsidR="003A11C9" w:rsidRPr="003A11C9" w:rsidRDefault="003A11C9">
      <w:pPr>
        <w:spacing w:before="60" w:after="60" w:line="240" w:lineRule="auto"/>
        <w:rPr>
          <w:rFonts w:ascii="Times New Roman" w:hAnsi="Times New Roman" w:cs="Times New Roman"/>
          <w:sz w:val="24"/>
          <w:szCs w:val="24"/>
          <w:lang w:val="sr-Cyrl-RS"/>
        </w:rPr>
      </w:pPr>
    </w:p>
    <w:sectPr w:rsidR="003A11C9" w:rsidRPr="003A11C9" w:rsidSect="002102CD">
      <w:footerReference w:type="default" r:id="rId15"/>
      <w:pgSz w:w="11907" w:h="16839" w:code="9"/>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F6626" w14:textId="77777777" w:rsidR="00445022" w:rsidRDefault="00445022" w:rsidP="00083F35">
      <w:pPr>
        <w:spacing w:after="0" w:line="240" w:lineRule="auto"/>
      </w:pPr>
      <w:r>
        <w:separator/>
      </w:r>
    </w:p>
  </w:endnote>
  <w:endnote w:type="continuationSeparator" w:id="0">
    <w:p w14:paraId="0EF8F51B" w14:textId="77777777" w:rsidR="00445022" w:rsidRDefault="00445022"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287" w:usb1="0062C208" w:usb2="43407428" w:usb3="49575C3A" w:csb0="574F444F" w:csb1="45545C53"/>
  </w:font>
  <w:font w:name="WenQuanYi Micro Hei">
    <w:altName w:val="Times New Roman"/>
    <w:panose1 w:val="00000000000000000000"/>
    <w:charset w:val="00"/>
    <w:family w:val="roman"/>
    <w:notTrueType/>
    <w:pitch w:val="default"/>
  </w:font>
  <w:font w:name="Roboto">
    <w:altName w:val="Times New Roman"/>
    <w:charset w:val="EE"/>
    <w:family w:val="auto"/>
    <w:pitch w:val="variable"/>
    <w:sig w:usb0="E00002EF" w:usb1="5000205B" w:usb2="00000020" w:usb3="00000000" w:csb0="0000019F" w:csb1="00000000"/>
  </w:font>
  <w:font w:name="Liberation Sans">
    <w:altName w:val="Arial"/>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70"/>
      <w:gridCol w:w="4403"/>
    </w:tblGrid>
    <w:tr w:rsidR="00B64BE7" w:rsidRPr="00F5074E" w14:paraId="1000EF25" w14:textId="77777777" w:rsidTr="00AC7FB5">
      <w:trPr>
        <w:trHeight w:val="181"/>
      </w:trPr>
      <w:tc>
        <w:tcPr>
          <w:tcW w:w="4773" w:type="dxa"/>
          <w:shd w:val="clear" w:color="auto" w:fill="auto"/>
        </w:tcPr>
        <w:p w14:paraId="01C0E826" w14:textId="7E3B8030" w:rsidR="00B64BE7" w:rsidRPr="00F5074E" w:rsidRDefault="000E3FE7" w:rsidP="00AC7FB5">
          <w:pPr>
            <w:pStyle w:val="Footer"/>
            <w:tabs>
              <w:tab w:val="center" w:pos="4111"/>
            </w:tabs>
            <w:rPr>
              <w:rFonts w:ascii="Roboto" w:hAnsi="Roboto"/>
              <w:sz w:val="20"/>
              <w:szCs w:val="20"/>
              <w:lang w:val="sr-Latn-CS"/>
            </w:rPr>
          </w:pPr>
          <w:r>
            <w:rPr>
              <w:rFonts w:ascii="Roboto" w:hAnsi="Roboto"/>
              <w:sz w:val="20"/>
              <w:szCs w:val="20"/>
              <w:lang w:val="sr-Latn-CS"/>
            </w:rPr>
            <w:t>2020</w:t>
          </w:r>
          <w:r w:rsidR="00B64BE7" w:rsidRPr="00F5074E">
            <w:rPr>
              <w:rFonts w:ascii="Roboto" w:hAnsi="Roboto"/>
              <w:sz w:val="20"/>
              <w:szCs w:val="20"/>
              <w:lang w:val="sr-Latn-CS"/>
            </w:rPr>
            <w:t xml:space="preserve"> – </w:t>
          </w:r>
          <w:proofErr w:type="spellStart"/>
          <w:r w:rsidR="00B64BE7">
            <w:rPr>
              <w:rFonts w:ascii="Roboto" w:hAnsi="Roboto"/>
              <w:sz w:val="20"/>
              <w:szCs w:val="20"/>
              <w:lang w:val="sr-Latn-CS"/>
            </w:rPr>
            <w:t>Regional</w:t>
          </w:r>
          <w:proofErr w:type="spellEnd"/>
          <w:r w:rsidR="00B64BE7">
            <w:rPr>
              <w:rFonts w:ascii="Roboto" w:hAnsi="Roboto"/>
              <w:sz w:val="20"/>
              <w:szCs w:val="20"/>
              <w:lang w:val="sr-Latn-CS"/>
            </w:rPr>
            <w:t xml:space="preserve"> </w:t>
          </w:r>
          <w:proofErr w:type="spellStart"/>
          <w:r w:rsidR="00B64BE7">
            <w:rPr>
              <w:rFonts w:ascii="Roboto" w:hAnsi="Roboto"/>
              <w:sz w:val="20"/>
              <w:szCs w:val="20"/>
              <w:lang w:val="sr-Latn-CS"/>
            </w:rPr>
            <w:t>Housing</w:t>
          </w:r>
          <w:proofErr w:type="spellEnd"/>
          <w:r w:rsidR="00B64BE7">
            <w:rPr>
              <w:rFonts w:ascii="Roboto" w:hAnsi="Roboto"/>
              <w:sz w:val="20"/>
              <w:szCs w:val="20"/>
              <w:lang w:val="sr-Latn-CS"/>
            </w:rPr>
            <w:t xml:space="preserve"> </w:t>
          </w:r>
          <w:proofErr w:type="spellStart"/>
          <w:r w:rsidR="00B64BE7">
            <w:rPr>
              <w:rFonts w:ascii="Roboto" w:hAnsi="Roboto"/>
              <w:sz w:val="20"/>
              <w:szCs w:val="20"/>
              <w:lang w:val="sr-Latn-CS"/>
            </w:rPr>
            <w:t>Programme</w:t>
          </w:r>
          <w:proofErr w:type="spellEnd"/>
          <w:r w:rsidR="00B64BE7">
            <w:rPr>
              <w:rFonts w:ascii="Roboto" w:hAnsi="Roboto"/>
              <w:sz w:val="20"/>
              <w:szCs w:val="20"/>
              <w:lang w:val="sr-Latn-CS"/>
            </w:rPr>
            <w:t xml:space="preserve"> </w:t>
          </w:r>
        </w:p>
      </w:tc>
      <w:tc>
        <w:tcPr>
          <w:tcW w:w="4515" w:type="dxa"/>
          <w:shd w:val="clear" w:color="auto" w:fill="auto"/>
        </w:tcPr>
        <w:p w14:paraId="6096B093" w14:textId="49E9B4B2" w:rsidR="00B64BE7" w:rsidRPr="00F5074E" w:rsidRDefault="00B64BE7" w:rsidP="00AC7FB5">
          <w:pPr>
            <w:pStyle w:val="Footer"/>
            <w:tabs>
              <w:tab w:val="center" w:pos="4111"/>
            </w:tabs>
            <w:jc w:val="right"/>
            <w:rPr>
              <w:rFonts w:ascii="Roboto" w:hAnsi="Roboto"/>
              <w:sz w:val="20"/>
              <w:szCs w:val="20"/>
              <w:lang w:val="sr-Latn-CS"/>
            </w:rPr>
          </w:pPr>
          <w:proofErr w:type="spellStart"/>
          <w:r>
            <w:rPr>
              <w:rFonts w:ascii="Roboto" w:hAnsi="Roboto"/>
              <w:sz w:val="20"/>
              <w:szCs w:val="20"/>
              <w:lang w:val="sr-Latn-CS"/>
            </w:rPr>
            <w:t>Page</w:t>
          </w:r>
          <w:proofErr w:type="spellEnd"/>
          <w:r>
            <w:rPr>
              <w:rFonts w:ascii="Roboto" w:hAnsi="Roboto"/>
              <w:sz w:val="20"/>
              <w:szCs w:val="20"/>
              <w:lang w:val="sr-Latn-CS"/>
            </w:rPr>
            <w:t xml:space="preserve">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140192">
            <w:rPr>
              <w:rFonts w:ascii="Roboto" w:hAnsi="Roboto"/>
              <w:noProof/>
              <w:sz w:val="20"/>
              <w:szCs w:val="20"/>
              <w:lang w:val="sr-Latn-CS"/>
            </w:rPr>
            <w:t>1</w:t>
          </w:r>
          <w:r w:rsidRPr="00F5074E">
            <w:rPr>
              <w:rFonts w:ascii="Roboto" w:hAnsi="Roboto"/>
              <w:noProof/>
              <w:sz w:val="20"/>
              <w:szCs w:val="20"/>
              <w:lang w:val="sr-Latn-CS"/>
            </w:rPr>
            <w:fldChar w:fldCharType="end"/>
          </w:r>
        </w:p>
      </w:tc>
    </w:tr>
  </w:tbl>
  <w:p w14:paraId="0EE30C9A" w14:textId="77777777" w:rsidR="00B64BE7" w:rsidRPr="00F5074E" w:rsidRDefault="00B64BE7" w:rsidP="00083F35">
    <w:pPr>
      <w:pStyle w:val="Footer"/>
      <w:rPr>
        <w:lang w:val="sr-Latn-CS"/>
      </w:rPr>
    </w:pPr>
  </w:p>
  <w:p w14:paraId="37671F3A" w14:textId="77777777" w:rsidR="00B64BE7" w:rsidRDefault="00B64BE7" w:rsidP="00083F35">
    <w:pPr>
      <w:pStyle w:val="Footer"/>
    </w:pPr>
  </w:p>
  <w:p w14:paraId="0A25BF27" w14:textId="77777777" w:rsidR="00B64BE7" w:rsidRDefault="00B6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AC497" w14:textId="77777777" w:rsidR="00445022" w:rsidRDefault="00445022" w:rsidP="00083F35">
      <w:pPr>
        <w:spacing w:after="0" w:line="240" w:lineRule="auto"/>
      </w:pPr>
      <w:r>
        <w:separator/>
      </w:r>
    </w:p>
  </w:footnote>
  <w:footnote w:type="continuationSeparator" w:id="0">
    <w:p w14:paraId="5B2C0EC7" w14:textId="77777777" w:rsidR="00445022" w:rsidRDefault="00445022"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062CA"/>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51C2D"/>
    <w:multiLevelType w:val="hybridMultilevel"/>
    <w:tmpl w:val="64BABDD6"/>
    <w:lvl w:ilvl="0" w:tplc="095C65CA">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BE14533"/>
    <w:multiLevelType w:val="hybridMultilevel"/>
    <w:tmpl w:val="D592EDF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5" w15:restartNumberingAfterBreak="0">
    <w:nsid w:val="21962C98"/>
    <w:multiLevelType w:val="hybridMultilevel"/>
    <w:tmpl w:val="DF985ADA"/>
    <w:lvl w:ilvl="0" w:tplc="E7EC0700">
      <w:numFmt w:val="bullet"/>
      <w:lvlText w:val="-"/>
      <w:lvlJc w:val="left"/>
      <w:pPr>
        <w:ind w:left="720" w:hanging="360"/>
      </w:pPr>
      <w:rPr>
        <w:rFonts w:ascii="Times New Roman" w:eastAsia="Times New Roman" w:hAnsi="Times New Roman" w:cs="Times New Roman"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BB7DDE"/>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01EB9"/>
    <w:multiLevelType w:val="hybridMultilevel"/>
    <w:tmpl w:val="D1DEE2D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E74302F"/>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3" w15:restartNumberingAfterBreak="0">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4" w15:restartNumberingAfterBreak="0">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15:restartNumberingAfterBreak="0">
    <w:nsid w:val="45BB5250"/>
    <w:multiLevelType w:val="hybridMultilevel"/>
    <w:tmpl w:val="11C28066"/>
    <w:lvl w:ilvl="0" w:tplc="EE9EA178">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6" w15:restartNumberingAfterBreak="0">
    <w:nsid w:val="467D5C75"/>
    <w:multiLevelType w:val="hybridMultilevel"/>
    <w:tmpl w:val="9560133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42F90"/>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66625"/>
    <w:multiLevelType w:val="hybridMultilevel"/>
    <w:tmpl w:val="BE10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C6E17"/>
    <w:multiLevelType w:val="hybridMultilevel"/>
    <w:tmpl w:val="2C2CED86"/>
    <w:lvl w:ilvl="0" w:tplc="D4CE7CCC">
      <w:start w:val="1"/>
      <w:numFmt w:val="lowerLetter"/>
      <w:lvlText w:val="%1)"/>
      <w:lvlJc w:val="left"/>
      <w:pPr>
        <w:ind w:left="720" w:hanging="360"/>
      </w:pPr>
      <w:rPr>
        <w:rFonts w:hint="default"/>
        <w:b/>
        <w:color w:val="00000A"/>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4C661D29"/>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F2760D"/>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A7EA1"/>
    <w:multiLevelType w:val="hybridMultilevel"/>
    <w:tmpl w:val="A1B8B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C9B64C8"/>
    <w:multiLevelType w:val="hybridMultilevel"/>
    <w:tmpl w:val="771E1834"/>
    <w:lvl w:ilvl="0" w:tplc="0146546E">
      <w:start w:val="4"/>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15:restartNumberingAfterBreak="0">
    <w:nsid w:val="5D321E20"/>
    <w:multiLevelType w:val="hybridMultilevel"/>
    <w:tmpl w:val="CDB29C98"/>
    <w:lvl w:ilvl="0" w:tplc="D070D17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62226"/>
    <w:multiLevelType w:val="hybridMultilevel"/>
    <w:tmpl w:val="83CE1F6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B53D8"/>
    <w:multiLevelType w:val="hybridMultilevel"/>
    <w:tmpl w:val="8B54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E57D5"/>
    <w:multiLevelType w:val="hybridMultilevel"/>
    <w:tmpl w:val="B52CF578"/>
    <w:lvl w:ilvl="0" w:tplc="7FE86608">
      <w:start w:val="15"/>
      <w:numFmt w:val="bullet"/>
      <w:lvlText w:val="-"/>
      <w:lvlJc w:val="left"/>
      <w:pPr>
        <w:tabs>
          <w:tab w:val="num" w:pos="705"/>
        </w:tabs>
        <w:ind w:left="705" w:hanging="705"/>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F61764"/>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82841"/>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A7C5E"/>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D63F93"/>
    <w:multiLevelType w:val="hybridMultilevel"/>
    <w:tmpl w:val="486239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8D6195B"/>
    <w:multiLevelType w:val="hybridMultilevel"/>
    <w:tmpl w:val="D4A2F710"/>
    <w:lvl w:ilvl="0" w:tplc="AF6097CC">
      <w:start w:val="1"/>
      <w:numFmt w:val="lowerLetter"/>
      <w:lvlText w:val="%1)"/>
      <w:lvlJc w:val="left"/>
      <w:pPr>
        <w:ind w:left="720" w:hanging="360"/>
      </w:pPr>
      <w:rPr>
        <w:rFonts w:eastAsia="WenQuanYi Micro Hei" w:hint="default"/>
        <w:b/>
        <w:color w:val="00000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9AB04CA"/>
    <w:multiLevelType w:val="hybridMultilevel"/>
    <w:tmpl w:val="74EABCA0"/>
    <w:lvl w:ilvl="0" w:tplc="131ED6B4">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37" w15:restartNumberingAfterBreak="0">
    <w:nsid w:val="71F46BE8"/>
    <w:multiLevelType w:val="hybridMultilevel"/>
    <w:tmpl w:val="C858820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8" w15:restartNumberingAfterBreak="0">
    <w:nsid w:val="72810498"/>
    <w:multiLevelType w:val="hybridMultilevel"/>
    <w:tmpl w:val="AF586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497D25"/>
    <w:multiLevelType w:val="hybridMultilevel"/>
    <w:tmpl w:val="4CE68E9C"/>
    <w:lvl w:ilvl="0" w:tplc="853E43C6">
      <w:start w:val="1"/>
      <w:numFmt w:val="decimal"/>
      <w:lvlText w:val="%1."/>
      <w:lvlJc w:val="left"/>
      <w:pPr>
        <w:tabs>
          <w:tab w:val="num" w:pos="720"/>
        </w:tabs>
        <w:ind w:left="720" w:hanging="360"/>
      </w:pPr>
      <w:rPr>
        <w:rFonts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6"/>
  </w:num>
  <w:num w:numId="3">
    <w:abstractNumId w:val="40"/>
  </w:num>
  <w:num w:numId="4">
    <w:abstractNumId w:val="23"/>
  </w:num>
  <w:num w:numId="5">
    <w:abstractNumId w:val="12"/>
  </w:num>
  <w:num w:numId="6">
    <w:abstractNumId w:val="13"/>
  </w:num>
  <w:num w:numId="7">
    <w:abstractNumId w:val="4"/>
  </w:num>
  <w:num w:numId="8">
    <w:abstractNumId w:val="33"/>
    <w:lvlOverride w:ilvl="0">
      <w:startOverride w:val="1"/>
    </w:lvlOverride>
  </w:num>
  <w:num w:numId="9">
    <w:abstractNumId w:val="36"/>
  </w:num>
  <w:num w:numId="10">
    <w:abstractNumId w:val="0"/>
  </w:num>
  <w:num w:numId="11">
    <w:abstractNumId w:val="22"/>
  </w:num>
  <w:num w:numId="12">
    <w:abstractNumId w:val="8"/>
  </w:num>
  <w:num w:numId="13">
    <w:abstractNumId w:val="24"/>
  </w:num>
  <w:num w:numId="14">
    <w:abstractNumId w:val="5"/>
  </w:num>
  <w:num w:numId="15">
    <w:abstractNumId w:val="9"/>
  </w:num>
  <w:num w:numId="16">
    <w:abstractNumId w:val="35"/>
  </w:num>
  <w:num w:numId="17">
    <w:abstractNumId w:val="19"/>
  </w:num>
  <w:num w:numId="18">
    <w:abstractNumId w:val="34"/>
  </w:num>
  <w:num w:numId="19">
    <w:abstractNumId w:val="10"/>
  </w:num>
  <w:num w:numId="20">
    <w:abstractNumId w:val="28"/>
  </w:num>
  <w:num w:numId="21">
    <w:abstractNumId w:val="38"/>
  </w:num>
  <w:num w:numId="22">
    <w:abstractNumId w:val="15"/>
  </w:num>
  <w:num w:numId="23">
    <w:abstractNumId w:val="14"/>
  </w:num>
  <w:num w:numId="24">
    <w:abstractNumId w:val="30"/>
  </w:num>
  <w:num w:numId="25">
    <w:abstractNumId w:val="1"/>
  </w:num>
  <w:num w:numId="26">
    <w:abstractNumId w:val="11"/>
  </w:num>
  <w:num w:numId="27">
    <w:abstractNumId w:val="31"/>
  </w:num>
  <w:num w:numId="28">
    <w:abstractNumId w:val="18"/>
  </w:num>
  <w:num w:numId="29">
    <w:abstractNumId w:val="2"/>
  </w:num>
  <w:num w:numId="30">
    <w:abstractNumId w:val="39"/>
  </w:num>
  <w:num w:numId="31">
    <w:abstractNumId w:val="37"/>
  </w:num>
  <w:num w:numId="32">
    <w:abstractNumId w:val="20"/>
  </w:num>
  <w:num w:numId="33">
    <w:abstractNumId w:val="25"/>
  </w:num>
  <w:num w:numId="34">
    <w:abstractNumId w:val="27"/>
  </w:num>
  <w:num w:numId="35">
    <w:abstractNumId w:val="16"/>
  </w:num>
  <w:num w:numId="36">
    <w:abstractNumId w:val="21"/>
  </w:num>
  <w:num w:numId="37">
    <w:abstractNumId w:val="32"/>
  </w:num>
  <w:num w:numId="38">
    <w:abstractNumId w:val="29"/>
  </w:num>
  <w:num w:numId="39">
    <w:abstractNumId w:val="3"/>
  </w:num>
  <w:num w:numId="40">
    <w:abstractNumId w:val="17"/>
  </w:num>
  <w:num w:numId="4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1MDY1NwViY3MLUyUdpeDU4uLM/DyQAkOTWgAd9XOfLQAAAA=="/>
  </w:docVars>
  <w:rsids>
    <w:rsidRoot w:val="002D6E25"/>
    <w:rsid w:val="00001FD9"/>
    <w:rsid w:val="00005BE2"/>
    <w:rsid w:val="00005E6F"/>
    <w:rsid w:val="00007AAF"/>
    <w:rsid w:val="00007E4F"/>
    <w:rsid w:val="00011DE5"/>
    <w:rsid w:val="00013B9B"/>
    <w:rsid w:val="00013D2C"/>
    <w:rsid w:val="00016B22"/>
    <w:rsid w:val="00017EF1"/>
    <w:rsid w:val="00021B24"/>
    <w:rsid w:val="00021B6A"/>
    <w:rsid w:val="00023254"/>
    <w:rsid w:val="00023723"/>
    <w:rsid w:val="00024A0E"/>
    <w:rsid w:val="00031712"/>
    <w:rsid w:val="00032BE6"/>
    <w:rsid w:val="00033918"/>
    <w:rsid w:val="000359A7"/>
    <w:rsid w:val="00037EA9"/>
    <w:rsid w:val="000430BD"/>
    <w:rsid w:val="0004439C"/>
    <w:rsid w:val="00045D2A"/>
    <w:rsid w:val="00050082"/>
    <w:rsid w:val="0005077D"/>
    <w:rsid w:val="00050BEA"/>
    <w:rsid w:val="000532DB"/>
    <w:rsid w:val="00055D3F"/>
    <w:rsid w:val="00055EFC"/>
    <w:rsid w:val="000579A9"/>
    <w:rsid w:val="00057A55"/>
    <w:rsid w:val="00063E46"/>
    <w:rsid w:val="0006550E"/>
    <w:rsid w:val="00065818"/>
    <w:rsid w:val="00066D61"/>
    <w:rsid w:val="000677D9"/>
    <w:rsid w:val="0007092D"/>
    <w:rsid w:val="00075ED7"/>
    <w:rsid w:val="0008152A"/>
    <w:rsid w:val="00081FA7"/>
    <w:rsid w:val="00082DBD"/>
    <w:rsid w:val="00083595"/>
    <w:rsid w:val="00083F35"/>
    <w:rsid w:val="000910B1"/>
    <w:rsid w:val="0009144A"/>
    <w:rsid w:val="000931D7"/>
    <w:rsid w:val="0009352E"/>
    <w:rsid w:val="00093924"/>
    <w:rsid w:val="000939BF"/>
    <w:rsid w:val="000943B8"/>
    <w:rsid w:val="000952E6"/>
    <w:rsid w:val="00096388"/>
    <w:rsid w:val="000A0041"/>
    <w:rsid w:val="000A1FA5"/>
    <w:rsid w:val="000A3F5B"/>
    <w:rsid w:val="000A4162"/>
    <w:rsid w:val="000A4D59"/>
    <w:rsid w:val="000B3A22"/>
    <w:rsid w:val="000B3DF3"/>
    <w:rsid w:val="000B4C17"/>
    <w:rsid w:val="000B50C2"/>
    <w:rsid w:val="000B7336"/>
    <w:rsid w:val="000C24E9"/>
    <w:rsid w:val="000C38BB"/>
    <w:rsid w:val="000D07CF"/>
    <w:rsid w:val="000D0D9F"/>
    <w:rsid w:val="000D1060"/>
    <w:rsid w:val="000D20F0"/>
    <w:rsid w:val="000D3CB7"/>
    <w:rsid w:val="000D5DAB"/>
    <w:rsid w:val="000D6EF0"/>
    <w:rsid w:val="000E0E3C"/>
    <w:rsid w:val="000E1CD9"/>
    <w:rsid w:val="000E259C"/>
    <w:rsid w:val="000E3FE7"/>
    <w:rsid w:val="000F2A3F"/>
    <w:rsid w:val="000F6808"/>
    <w:rsid w:val="001029E8"/>
    <w:rsid w:val="00103142"/>
    <w:rsid w:val="00105C86"/>
    <w:rsid w:val="00112695"/>
    <w:rsid w:val="001140C5"/>
    <w:rsid w:val="001222F0"/>
    <w:rsid w:val="0012293E"/>
    <w:rsid w:val="0012515E"/>
    <w:rsid w:val="001261A9"/>
    <w:rsid w:val="001311AB"/>
    <w:rsid w:val="001321F5"/>
    <w:rsid w:val="0013478F"/>
    <w:rsid w:val="00134E79"/>
    <w:rsid w:val="0013508E"/>
    <w:rsid w:val="00135EB8"/>
    <w:rsid w:val="00137607"/>
    <w:rsid w:val="00140192"/>
    <w:rsid w:val="00142E1D"/>
    <w:rsid w:val="0014566F"/>
    <w:rsid w:val="00145E7C"/>
    <w:rsid w:val="00147F26"/>
    <w:rsid w:val="001537F3"/>
    <w:rsid w:val="00155176"/>
    <w:rsid w:val="00156946"/>
    <w:rsid w:val="001572BB"/>
    <w:rsid w:val="00164D22"/>
    <w:rsid w:val="00167CFF"/>
    <w:rsid w:val="00173AE5"/>
    <w:rsid w:val="00174B51"/>
    <w:rsid w:val="00177AED"/>
    <w:rsid w:val="0018126D"/>
    <w:rsid w:val="001859F5"/>
    <w:rsid w:val="001950F3"/>
    <w:rsid w:val="00195D05"/>
    <w:rsid w:val="00195FB6"/>
    <w:rsid w:val="00196F6E"/>
    <w:rsid w:val="001A4007"/>
    <w:rsid w:val="001A4D50"/>
    <w:rsid w:val="001A6AED"/>
    <w:rsid w:val="001A7A68"/>
    <w:rsid w:val="001B3EC5"/>
    <w:rsid w:val="001B4609"/>
    <w:rsid w:val="001B4FBC"/>
    <w:rsid w:val="001B6668"/>
    <w:rsid w:val="001C29D3"/>
    <w:rsid w:val="001D1B60"/>
    <w:rsid w:val="001E0E35"/>
    <w:rsid w:val="001E37E8"/>
    <w:rsid w:val="001E4CFF"/>
    <w:rsid w:val="001E6119"/>
    <w:rsid w:val="001E7EE8"/>
    <w:rsid w:val="001F4647"/>
    <w:rsid w:val="001F5321"/>
    <w:rsid w:val="001F550B"/>
    <w:rsid w:val="001F6BB5"/>
    <w:rsid w:val="001F7A2C"/>
    <w:rsid w:val="001F7C6F"/>
    <w:rsid w:val="00204596"/>
    <w:rsid w:val="00204EFC"/>
    <w:rsid w:val="002079C7"/>
    <w:rsid w:val="002102CD"/>
    <w:rsid w:val="002106F3"/>
    <w:rsid w:val="00210989"/>
    <w:rsid w:val="002140D1"/>
    <w:rsid w:val="00215659"/>
    <w:rsid w:val="00216134"/>
    <w:rsid w:val="002207C4"/>
    <w:rsid w:val="00220AE2"/>
    <w:rsid w:val="00220D68"/>
    <w:rsid w:val="00221593"/>
    <w:rsid w:val="00225CD3"/>
    <w:rsid w:val="002301DA"/>
    <w:rsid w:val="00230DE3"/>
    <w:rsid w:val="002324D3"/>
    <w:rsid w:val="002345A3"/>
    <w:rsid w:val="00235149"/>
    <w:rsid w:val="002361B0"/>
    <w:rsid w:val="00241D78"/>
    <w:rsid w:val="0024580B"/>
    <w:rsid w:val="00246CA2"/>
    <w:rsid w:val="00250454"/>
    <w:rsid w:val="00250746"/>
    <w:rsid w:val="002519CE"/>
    <w:rsid w:val="002520DD"/>
    <w:rsid w:val="00253AD2"/>
    <w:rsid w:val="002566AA"/>
    <w:rsid w:val="00261625"/>
    <w:rsid w:val="00265C84"/>
    <w:rsid w:val="0027403F"/>
    <w:rsid w:val="00274922"/>
    <w:rsid w:val="0027644A"/>
    <w:rsid w:val="00281E01"/>
    <w:rsid w:val="00283248"/>
    <w:rsid w:val="00284980"/>
    <w:rsid w:val="00285B86"/>
    <w:rsid w:val="0028675B"/>
    <w:rsid w:val="002903BB"/>
    <w:rsid w:val="00291023"/>
    <w:rsid w:val="00294D09"/>
    <w:rsid w:val="00295D31"/>
    <w:rsid w:val="002A191C"/>
    <w:rsid w:val="002A271B"/>
    <w:rsid w:val="002A4BFD"/>
    <w:rsid w:val="002A52A2"/>
    <w:rsid w:val="002A5C03"/>
    <w:rsid w:val="002B05B9"/>
    <w:rsid w:val="002B51CF"/>
    <w:rsid w:val="002B5308"/>
    <w:rsid w:val="002B5D6F"/>
    <w:rsid w:val="002B65C9"/>
    <w:rsid w:val="002B6918"/>
    <w:rsid w:val="002B699C"/>
    <w:rsid w:val="002C0A99"/>
    <w:rsid w:val="002C188D"/>
    <w:rsid w:val="002C1C1D"/>
    <w:rsid w:val="002C5E77"/>
    <w:rsid w:val="002C6159"/>
    <w:rsid w:val="002C6E04"/>
    <w:rsid w:val="002D1A09"/>
    <w:rsid w:val="002D2C48"/>
    <w:rsid w:val="002D6AD7"/>
    <w:rsid w:val="002D6E25"/>
    <w:rsid w:val="002E3112"/>
    <w:rsid w:val="002E4A07"/>
    <w:rsid w:val="002E63CE"/>
    <w:rsid w:val="002E7AA6"/>
    <w:rsid w:val="002F0232"/>
    <w:rsid w:val="002F3A5D"/>
    <w:rsid w:val="002F55CB"/>
    <w:rsid w:val="002F5A82"/>
    <w:rsid w:val="00304386"/>
    <w:rsid w:val="00304F64"/>
    <w:rsid w:val="00306A8F"/>
    <w:rsid w:val="00310452"/>
    <w:rsid w:val="0031288D"/>
    <w:rsid w:val="0031323E"/>
    <w:rsid w:val="00314ECE"/>
    <w:rsid w:val="003176DD"/>
    <w:rsid w:val="00317D85"/>
    <w:rsid w:val="003202C7"/>
    <w:rsid w:val="00320AFE"/>
    <w:rsid w:val="00321E2E"/>
    <w:rsid w:val="00323A15"/>
    <w:rsid w:val="003300D2"/>
    <w:rsid w:val="00333744"/>
    <w:rsid w:val="00334937"/>
    <w:rsid w:val="00345CC7"/>
    <w:rsid w:val="00346AF0"/>
    <w:rsid w:val="003473FD"/>
    <w:rsid w:val="00352606"/>
    <w:rsid w:val="00355A86"/>
    <w:rsid w:val="00361E39"/>
    <w:rsid w:val="00362F64"/>
    <w:rsid w:val="00364874"/>
    <w:rsid w:val="00364CC8"/>
    <w:rsid w:val="00374EC1"/>
    <w:rsid w:val="00376578"/>
    <w:rsid w:val="003779ED"/>
    <w:rsid w:val="00377CF9"/>
    <w:rsid w:val="00380CD7"/>
    <w:rsid w:val="00382A29"/>
    <w:rsid w:val="0038520C"/>
    <w:rsid w:val="00391FEF"/>
    <w:rsid w:val="00392929"/>
    <w:rsid w:val="00394072"/>
    <w:rsid w:val="00394F6F"/>
    <w:rsid w:val="00395684"/>
    <w:rsid w:val="003A0CF2"/>
    <w:rsid w:val="003A0D25"/>
    <w:rsid w:val="003A11C9"/>
    <w:rsid w:val="003A3B73"/>
    <w:rsid w:val="003A4446"/>
    <w:rsid w:val="003B0DC3"/>
    <w:rsid w:val="003B1089"/>
    <w:rsid w:val="003C3679"/>
    <w:rsid w:val="003C3E39"/>
    <w:rsid w:val="003C3F8A"/>
    <w:rsid w:val="003C70B1"/>
    <w:rsid w:val="003C7AD5"/>
    <w:rsid w:val="003D7EE1"/>
    <w:rsid w:val="003E1A7F"/>
    <w:rsid w:val="003E3CB3"/>
    <w:rsid w:val="003E56C8"/>
    <w:rsid w:val="003F0D07"/>
    <w:rsid w:val="003F1094"/>
    <w:rsid w:val="003F291C"/>
    <w:rsid w:val="003F2C54"/>
    <w:rsid w:val="003F32DC"/>
    <w:rsid w:val="003F4094"/>
    <w:rsid w:val="003F7AA6"/>
    <w:rsid w:val="00400652"/>
    <w:rsid w:val="0040081F"/>
    <w:rsid w:val="004034E2"/>
    <w:rsid w:val="00406BEF"/>
    <w:rsid w:val="004079AC"/>
    <w:rsid w:val="00412946"/>
    <w:rsid w:val="00412F3F"/>
    <w:rsid w:val="0041481A"/>
    <w:rsid w:val="0041755B"/>
    <w:rsid w:val="00417D2C"/>
    <w:rsid w:val="00417F09"/>
    <w:rsid w:val="00417FA0"/>
    <w:rsid w:val="0042053E"/>
    <w:rsid w:val="00421C6D"/>
    <w:rsid w:val="00421C90"/>
    <w:rsid w:val="00421F31"/>
    <w:rsid w:val="004234A0"/>
    <w:rsid w:val="00423FD4"/>
    <w:rsid w:val="004244EC"/>
    <w:rsid w:val="0043601C"/>
    <w:rsid w:val="00436BFB"/>
    <w:rsid w:val="00437453"/>
    <w:rsid w:val="0043778A"/>
    <w:rsid w:val="004408A2"/>
    <w:rsid w:val="004418A0"/>
    <w:rsid w:val="0044284C"/>
    <w:rsid w:val="00442AFA"/>
    <w:rsid w:val="0044345C"/>
    <w:rsid w:val="004436F7"/>
    <w:rsid w:val="00445022"/>
    <w:rsid w:val="0044518B"/>
    <w:rsid w:val="00447DEA"/>
    <w:rsid w:val="004502B4"/>
    <w:rsid w:val="004511C2"/>
    <w:rsid w:val="00455F21"/>
    <w:rsid w:val="004602EC"/>
    <w:rsid w:val="00460C34"/>
    <w:rsid w:val="00463902"/>
    <w:rsid w:val="00464CF5"/>
    <w:rsid w:val="00466996"/>
    <w:rsid w:val="00467305"/>
    <w:rsid w:val="00481B56"/>
    <w:rsid w:val="00484B78"/>
    <w:rsid w:val="0048746E"/>
    <w:rsid w:val="00490367"/>
    <w:rsid w:val="00492AD3"/>
    <w:rsid w:val="00494002"/>
    <w:rsid w:val="0049529A"/>
    <w:rsid w:val="004952FE"/>
    <w:rsid w:val="00496D03"/>
    <w:rsid w:val="004A080A"/>
    <w:rsid w:val="004A083A"/>
    <w:rsid w:val="004A2BDB"/>
    <w:rsid w:val="004A6719"/>
    <w:rsid w:val="004A689C"/>
    <w:rsid w:val="004B28B0"/>
    <w:rsid w:val="004B323E"/>
    <w:rsid w:val="004B6369"/>
    <w:rsid w:val="004B760A"/>
    <w:rsid w:val="004C34B1"/>
    <w:rsid w:val="004C5242"/>
    <w:rsid w:val="004C7744"/>
    <w:rsid w:val="004D140B"/>
    <w:rsid w:val="004D4896"/>
    <w:rsid w:val="004D5C05"/>
    <w:rsid w:val="004E0881"/>
    <w:rsid w:val="004E4A8B"/>
    <w:rsid w:val="004E4DE2"/>
    <w:rsid w:val="004F763E"/>
    <w:rsid w:val="004F7C39"/>
    <w:rsid w:val="005000A6"/>
    <w:rsid w:val="00501254"/>
    <w:rsid w:val="00501D27"/>
    <w:rsid w:val="00501D88"/>
    <w:rsid w:val="005028A2"/>
    <w:rsid w:val="0050477F"/>
    <w:rsid w:val="00506598"/>
    <w:rsid w:val="00507486"/>
    <w:rsid w:val="005076FF"/>
    <w:rsid w:val="005145B9"/>
    <w:rsid w:val="0051716B"/>
    <w:rsid w:val="00521E5B"/>
    <w:rsid w:val="005233C7"/>
    <w:rsid w:val="0052571F"/>
    <w:rsid w:val="005260B6"/>
    <w:rsid w:val="00526B09"/>
    <w:rsid w:val="005279C3"/>
    <w:rsid w:val="00535568"/>
    <w:rsid w:val="00537D80"/>
    <w:rsid w:val="00540AD0"/>
    <w:rsid w:val="005421A2"/>
    <w:rsid w:val="00542712"/>
    <w:rsid w:val="005435C9"/>
    <w:rsid w:val="005451F0"/>
    <w:rsid w:val="00547C18"/>
    <w:rsid w:val="00553778"/>
    <w:rsid w:val="00553B7D"/>
    <w:rsid w:val="0055433D"/>
    <w:rsid w:val="00554409"/>
    <w:rsid w:val="0056096E"/>
    <w:rsid w:val="0056767C"/>
    <w:rsid w:val="0057223B"/>
    <w:rsid w:val="005758C2"/>
    <w:rsid w:val="00576722"/>
    <w:rsid w:val="0057687D"/>
    <w:rsid w:val="005817FF"/>
    <w:rsid w:val="005873EB"/>
    <w:rsid w:val="0059284E"/>
    <w:rsid w:val="005B14D8"/>
    <w:rsid w:val="005B785D"/>
    <w:rsid w:val="005D0418"/>
    <w:rsid w:val="005D2B0C"/>
    <w:rsid w:val="005D60A3"/>
    <w:rsid w:val="005F0A62"/>
    <w:rsid w:val="005F2CCA"/>
    <w:rsid w:val="005F2F0A"/>
    <w:rsid w:val="005F66A2"/>
    <w:rsid w:val="005F770E"/>
    <w:rsid w:val="005F7C1D"/>
    <w:rsid w:val="00600968"/>
    <w:rsid w:val="0060136A"/>
    <w:rsid w:val="006023AF"/>
    <w:rsid w:val="00604D4F"/>
    <w:rsid w:val="00605BB4"/>
    <w:rsid w:val="00611C4B"/>
    <w:rsid w:val="006138B7"/>
    <w:rsid w:val="006139F0"/>
    <w:rsid w:val="00620C14"/>
    <w:rsid w:val="00621035"/>
    <w:rsid w:val="00621E23"/>
    <w:rsid w:val="00623D43"/>
    <w:rsid w:val="0062438C"/>
    <w:rsid w:val="00624E33"/>
    <w:rsid w:val="0062567A"/>
    <w:rsid w:val="00627C47"/>
    <w:rsid w:val="00630657"/>
    <w:rsid w:val="006315A5"/>
    <w:rsid w:val="0063502A"/>
    <w:rsid w:val="006353F0"/>
    <w:rsid w:val="0064156E"/>
    <w:rsid w:val="00642374"/>
    <w:rsid w:val="006469D7"/>
    <w:rsid w:val="00646C43"/>
    <w:rsid w:val="006547C5"/>
    <w:rsid w:val="00657C55"/>
    <w:rsid w:val="00661276"/>
    <w:rsid w:val="00661379"/>
    <w:rsid w:val="0066439E"/>
    <w:rsid w:val="006643EC"/>
    <w:rsid w:val="0066443A"/>
    <w:rsid w:val="0066497A"/>
    <w:rsid w:val="006649C7"/>
    <w:rsid w:val="006655D3"/>
    <w:rsid w:val="00665B7F"/>
    <w:rsid w:val="00667F0F"/>
    <w:rsid w:val="00667F69"/>
    <w:rsid w:val="00674932"/>
    <w:rsid w:val="006768D8"/>
    <w:rsid w:val="006810A9"/>
    <w:rsid w:val="00681F84"/>
    <w:rsid w:val="00683F12"/>
    <w:rsid w:val="00687AC1"/>
    <w:rsid w:val="00687B7F"/>
    <w:rsid w:val="00690A93"/>
    <w:rsid w:val="0069687D"/>
    <w:rsid w:val="006A0D32"/>
    <w:rsid w:val="006A55A3"/>
    <w:rsid w:val="006A757D"/>
    <w:rsid w:val="006B0FC4"/>
    <w:rsid w:val="006B3B41"/>
    <w:rsid w:val="006B519B"/>
    <w:rsid w:val="006B7537"/>
    <w:rsid w:val="006C15A8"/>
    <w:rsid w:val="006C2566"/>
    <w:rsid w:val="006C2EF3"/>
    <w:rsid w:val="006C5992"/>
    <w:rsid w:val="006D065F"/>
    <w:rsid w:val="006D1AD5"/>
    <w:rsid w:val="006D28FD"/>
    <w:rsid w:val="006E0510"/>
    <w:rsid w:val="006E2D1F"/>
    <w:rsid w:val="006E494D"/>
    <w:rsid w:val="006E503A"/>
    <w:rsid w:val="006E69D8"/>
    <w:rsid w:val="006E77C1"/>
    <w:rsid w:val="006F2451"/>
    <w:rsid w:val="006F56C3"/>
    <w:rsid w:val="006F5BCA"/>
    <w:rsid w:val="006F7062"/>
    <w:rsid w:val="00702E6C"/>
    <w:rsid w:val="007031E6"/>
    <w:rsid w:val="007036F1"/>
    <w:rsid w:val="007060FF"/>
    <w:rsid w:val="007068F5"/>
    <w:rsid w:val="0071108B"/>
    <w:rsid w:val="0071199E"/>
    <w:rsid w:val="007146FA"/>
    <w:rsid w:val="00720EB3"/>
    <w:rsid w:val="007235BC"/>
    <w:rsid w:val="00724056"/>
    <w:rsid w:val="00724128"/>
    <w:rsid w:val="0072522E"/>
    <w:rsid w:val="0073265F"/>
    <w:rsid w:val="00732780"/>
    <w:rsid w:val="00732D76"/>
    <w:rsid w:val="00734730"/>
    <w:rsid w:val="0073771F"/>
    <w:rsid w:val="00737DFD"/>
    <w:rsid w:val="007420D2"/>
    <w:rsid w:val="00743AA4"/>
    <w:rsid w:val="00744858"/>
    <w:rsid w:val="0074669E"/>
    <w:rsid w:val="00746C1D"/>
    <w:rsid w:val="0075079A"/>
    <w:rsid w:val="00751F1A"/>
    <w:rsid w:val="0075343C"/>
    <w:rsid w:val="00763D6C"/>
    <w:rsid w:val="0076495D"/>
    <w:rsid w:val="0076617B"/>
    <w:rsid w:val="007665BA"/>
    <w:rsid w:val="00767356"/>
    <w:rsid w:val="007817B4"/>
    <w:rsid w:val="007848D6"/>
    <w:rsid w:val="007878AD"/>
    <w:rsid w:val="0078794D"/>
    <w:rsid w:val="00787ECB"/>
    <w:rsid w:val="00790B38"/>
    <w:rsid w:val="00791B36"/>
    <w:rsid w:val="00792E99"/>
    <w:rsid w:val="00795016"/>
    <w:rsid w:val="007A1797"/>
    <w:rsid w:val="007A45EA"/>
    <w:rsid w:val="007A5FF3"/>
    <w:rsid w:val="007B0014"/>
    <w:rsid w:val="007B2F5F"/>
    <w:rsid w:val="007C355C"/>
    <w:rsid w:val="007C7AEB"/>
    <w:rsid w:val="007D0CE7"/>
    <w:rsid w:val="007D2351"/>
    <w:rsid w:val="007D2B62"/>
    <w:rsid w:val="007E1F6F"/>
    <w:rsid w:val="007E2AB0"/>
    <w:rsid w:val="007E34F5"/>
    <w:rsid w:val="007E3A0A"/>
    <w:rsid w:val="007F0F3B"/>
    <w:rsid w:val="007F75B5"/>
    <w:rsid w:val="00803D57"/>
    <w:rsid w:val="008134EE"/>
    <w:rsid w:val="00817F67"/>
    <w:rsid w:val="00820452"/>
    <w:rsid w:val="00820A99"/>
    <w:rsid w:val="00820BBD"/>
    <w:rsid w:val="00822390"/>
    <w:rsid w:val="008263C1"/>
    <w:rsid w:val="008306DF"/>
    <w:rsid w:val="008340F0"/>
    <w:rsid w:val="0083492C"/>
    <w:rsid w:val="00842682"/>
    <w:rsid w:val="0084337A"/>
    <w:rsid w:val="00844EC9"/>
    <w:rsid w:val="008473F8"/>
    <w:rsid w:val="00850233"/>
    <w:rsid w:val="00855428"/>
    <w:rsid w:val="00855924"/>
    <w:rsid w:val="00870D84"/>
    <w:rsid w:val="008727AE"/>
    <w:rsid w:val="0087780E"/>
    <w:rsid w:val="00877871"/>
    <w:rsid w:val="008806A9"/>
    <w:rsid w:val="00884FC2"/>
    <w:rsid w:val="0088741C"/>
    <w:rsid w:val="00887CF0"/>
    <w:rsid w:val="008960BD"/>
    <w:rsid w:val="00897454"/>
    <w:rsid w:val="00897F01"/>
    <w:rsid w:val="008A445F"/>
    <w:rsid w:val="008A48D4"/>
    <w:rsid w:val="008A52B3"/>
    <w:rsid w:val="008B14CE"/>
    <w:rsid w:val="008B33F0"/>
    <w:rsid w:val="008B3F47"/>
    <w:rsid w:val="008B7AF9"/>
    <w:rsid w:val="008C65CC"/>
    <w:rsid w:val="008C69E9"/>
    <w:rsid w:val="008D0286"/>
    <w:rsid w:val="008D3F78"/>
    <w:rsid w:val="008E4B89"/>
    <w:rsid w:val="008F08C4"/>
    <w:rsid w:val="008F35AF"/>
    <w:rsid w:val="008F5177"/>
    <w:rsid w:val="008F53BA"/>
    <w:rsid w:val="008F59E9"/>
    <w:rsid w:val="008F62E9"/>
    <w:rsid w:val="008F774F"/>
    <w:rsid w:val="009060B7"/>
    <w:rsid w:val="00911E54"/>
    <w:rsid w:val="00913682"/>
    <w:rsid w:val="009137C6"/>
    <w:rsid w:val="00920314"/>
    <w:rsid w:val="00922577"/>
    <w:rsid w:val="009262F4"/>
    <w:rsid w:val="009279BA"/>
    <w:rsid w:val="009337F6"/>
    <w:rsid w:val="00934D1E"/>
    <w:rsid w:val="00940058"/>
    <w:rsid w:val="00941796"/>
    <w:rsid w:val="00942E82"/>
    <w:rsid w:val="009432B5"/>
    <w:rsid w:val="00943F2E"/>
    <w:rsid w:val="00943FC3"/>
    <w:rsid w:val="00947ACB"/>
    <w:rsid w:val="0095334B"/>
    <w:rsid w:val="00954524"/>
    <w:rsid w:val="0095676C"/>
    <w:rsid w:val="009607A9"/>
    <w:rsid w:val="009610AF"/>
    <w:rsid w:val="00962EBD"/>
    <w:rsid w:val="00962FB8"/>
    <w:rsid w:val="00963623"/>
    <w:rsid w:val="00966CB0"/>
    <w:rsid w:val="009674CB"/>
    <w:rsid w:val="00967FCF"/>
    <w:rsid w:val="009706D3"/>
    <w:rsid w:val="00970D81"/>
    <w:rsid w:val="00970FCB"/>
    <w:rsid w:val="0097229E"/>
    <w:rsid w:val="00973CF2"/>
    <w:rsid w:val="00977C38"/>
    <w:rsid w:val="0098038F"/>
    <w:rsid w:val="0098362A"/>
    <w:rsid w:val="009836CF"/>
    <w:rsid w:val="00985F90"/>
    <w:rsid w:val="00987D20"/>
    <w:rsid w:val="00991AEC"/>
    <w:rsid w:val="0099422A"/>
    <w:rsid w:val="0099491A"/>
    <w:rsid w:val="00994FB1"/>
    <w:rsid w:val="00995336"/>
    <w:rsid w:val="00997B6B"/>
    <w:rsid w:val="009A0136"/>
    <w:rsid w:val="009A1105"/>
    <w:rsid w:val="009A14E4"/>
    <w:rsid w:val="009A3738"/>
    <w:rsid w:val="009A4969"/>
    <w:rsid w:val="009B341F"/>
    <w:rsid w:val="009B3CCA"/>
    <w:rsid w:val="009B6FEB"/>
    <w:rsid w:val="009B70D9"/>
    <w:rsid w:val="009C0AB5"/>
    <w:rsid w:val="009C0F46"/>
    <w:rsid w:val="009C19D5"/>
    <w:rsid w:val="009C3B32"/>
    <w:rsid w:val="009C6217"/>
    <w:rsid w:val="009C7399"/>
    <w:rsid w:val="009C7B75"/>
    <w:rsid w:val="009D29C6"/>
    <w:rsid w:val="009D70F7"/>
    <w:rsid w:val="009E197B"/>
    <w:rsid w:val="009E33F0"/>
    <w:rsid w:val="009E3EDD"/>
    <w:rsid w:val="009F04D0"/>
    <w:rsid w:val="009F0733"/>
    <w:rsid w:val="009F0DE8"/>
    <w:rsid w:val="009F1398"/>
    <w:rsid w:val="009F151B"/>
    <w:rsid w:val="009F15A6"/>
    <w:rsid w:val="009F20E4"/>
    <w:rsid w:val="009F4543"/>
    <w:rsid w:val="009F5074"/>
    <w:rsid w:val="009F5299"/>
    <w:rsid w:val="009F5A38"/>
    <w:rsid w:val="009F5B0C"/>
    <w:rsid w:val="009F66E5"/>
    <w:rsid w:val="009F6921"/>
    <w:rsid w:val="00A013BD"/>
    <w:rsid w:val="00A03B5A"/>
    <w:rsid w:val="00A10B80"/>
    <w:rsid w:val="00A16F1F"/>
    <w:rsid w:val="00A24781"/>
    <w:rsid w:val="00A26734"/>
    <w:rsid w:val="00A27902"/>
    <w:rsid w:val="00A327DF"/>
    <w:rsid w:val="00A335A3"/>
    <w:rsid w:val="00A338C2"/>
    <w:rsid w:val="00A3741C"/>
    <w:rsid w:val="00A44BE5"/>
    <w:rsid w:val="00A468F4"/>
    <w:rsid w:val="00A4704A"/>
    <w:rsid w:val="00A509F2"/>
    <w:rsid w:val="00A534AA"/>
    <w:rsid w:val="00A53C36"/>
    <w:rsid w:val="00A54B92"/>
    <w:rsid w:val="00A56CD5"/>
    <w:rsid w:val="00A56DEE"/>
    <w:rsid w:val="00A6079B"/>
    <w:rsid w:val="00A60975"/>
    <w:rsid w:val="00A6246E"/>
    <w:rsid w:val="00A643F6"/>
    <w:rsid w:val="00A74CAB"/>
    <w:rsid w:val="00A8477D"/>
    <w:rsid w:val="00A847E6"/>
    <w:rsid w:val="00A85F66"/>
    <w:rsid w:val="00A92081"/>
    <w:rsid w:val="00AA01B1"/>
    <w:rsid w:val="00AA29DC"/>
    <w:rsid w:val="00AA5858"/>
    <w:rsid w:val="00AA7AD4"/>
    <w:rsid w:val="00AA7B94"/>
    <w:rsid w:val="00AA7E98"/>
    <w:rsid w:val="00AB0481"/>
    <w:rsid w:val="00AB2B7D"/>
    <w:rsid w:val="00AB5117"/>
    <w:rsid w:val="00AC0186"/>
    <w:rsid w:val="00AC219F"/>
    <w:rsid w:val="00AC31AC"/>
    <w:rsid w:val="00AC46ED"/>
    <w:rsid w:val="00AC7A57"/>
    <w:rsid w:val="00AC7FB5"/>
    <w:rsid w:val="00AD331E"/>
    <w:rsid w:val="00AD7BB3"/>
    <w:rsid w:val="00AE1A6E"/>
    <w:rsid w:val="00AF01A7"/>
    <w:rsid w:val="00AF16D8"/>
    <w:rsid w:val="00AF1C18"/>
    <w:rsid w:val="00AF1C32"/>
    <w:rsid w:val="00AF23E6"/>
    <w:rsid w:val="00AF2695"/>
    <w:rsid w:val="00AF3A24"/>
    <w:rsid w:val="00AF4E9F"/>
    <w:rsid w:val="00AF5AB9"/>
    <w:rsid w:val="00AF7F7B"/>
    <w:rsid w:val="00B062C7"/>
    <w:rsid w:val="00B06A07"/>
    <w:rsid w:val="00B16D61"/>
    <w:rsid w:val="00B172D4"/>
    <w:rsid w:val="00B17E2E"/>
    <w:rsid w:val="00B24B43"/>
    <w:rsid w:val="00B266B0"/>
    <w:rsid w:val="00B267F0"/>
    <w:rsid w:val="00B273E3"/>
    <w:rsid w:val="00B30A48"/>
    <w:rsid w:val="00B35A53"/>
    <w:rsid w:val="00B36F98"/>
    <w:rsid w:val="00B37239"/>
    <w:rsid w:val="00B374C5"/>
    <w:rsid w:val="00B4097F"/>
    <w:rsid w:val="00B41908"/>
    <w:rsid w:val="00B42BB8"/>
    <w:rsid w:val="00B43D36"/>
    <w:rsid w:val="00B43DC9"/>
    <w:rsid w:val="00B467BE"/>
    <w:rsid w:val="00B4771E"/>
    <w:rsid w:val="00B4792E"/>
    <w:rsid w:val="00B557B0"/>
    <w:rsid w:val="00B635D0"/>
    <w:rsid w:val="00B64BE7"/>
    <w:rsid w:val="00B65D8F"/>
    <w:rsid w:val="00B70791"/>
    <w:rsid w:val="00B73060"/>
    <w:rsid w:val="00B7584C"/>
    <w:rsid w:val="00B826F2"/>
    <w:rsid w:val="00B83F47"/>
    <w:rsid w:val="00B91312"/>
    <w:rsid w:val="00B94FDB"/>
    <w:rsid w:val="00BA0697"/>
    <w:rsid w:val="00BA0EB2"/>
    <w:rsid w:val="00BA1932"/>
    <w:rsid w:val="00BA6EB9"/>
    <w:rsid w:val="00BB0E18"/>
    <w:rsid w:val="00BB2642"/>
    <w:rsid w:val="00BB638E"/>
    <w:rsid w:val="00BB6AA6"/>
    <w:rsid w:val="00BB6B2B"/>
    <w:rsid w:val="00BB77F0"/>
    <w:rsid w:val="00BC088F"/>
    <w:rsid w:val="00BC333C"/>
    <w:rsid w:val="00BC3F7F"/>
    <w:rsid w:val="00BC601A"/>
    <w:rsid w:val="00BD02D0"/>
    <w:rsid w:val="00BD7B43"/>
    <w:rsid w:val="00BE1CE7"/>
    <w:rsid w:val="00BE6E6A"/>
    <w:rsid w:val="00BE794D"/>
    <w:rsid w:val="00BF3B9D"/>
    <w:rsid w:val="00BF4124"/>
    <w:rsid w:val="00C03F1B"/>
    <w:rsid w:val="00C07175"/>
    <w:rsid w:val="00C11537"/>
    <w:rsid w:val="00C13640"/>
    <w:rsid w:val="00C13DF4"/>
    <w:rsid w:val="00C1418B"/>
    <w:rsid w:val="00C15DBB"/>
    <w:rsid w:val="00C15E41"/>
    <w:rsid w:val="00C16771"/>
    <w:rsid w:val="00C20876"/>
    <w:rsid w:val="00C24953"/>
    <w:rsid w:val="00C2774C"/>
    <w:rsid w:val="00C30706"/>
    <w:rsid w:val="00C31F0D"/>
    <w:rsid w:val="00C330BD"/>
    <w:rsid w:val="00C332A5"/>
    <w:rsid w:val="00C33D99"/>
    <w:rsid w:val="00C35881"/>
    <w:rsid w:val="00C35F5F"/>
    <w:rsid w:val="00C372AC"/>
    <w:rsid w:val="00C40A14"/>
    <w:rsid w:val="00C4327A"/>
    <w:rsid w:val="00C433B2"/>
    <w:rsid w:val="00C53A97"/>
    <w:rsid w:val="00C542FD"/>
    <w:rsid w:val="00C56093"/>
    <w:rsid w:val="00C60922"/>
    <w:rsid w:val="00C66C7B"/>
    <w:rsid w:val="00C71F42"/>
    <w:rsid w:val="00C72BDD"/>
    <w:rsid w:val="00C80B81"/>
    <w:rsid w:val="00C817B8"/>
    <w:rsid w:val="00C832C7"/>
    <w:rsid w:val="00C83563"/>
    <w:rsid w:val="00C86023"/>
    <w:rsid w:val="00C9030A"/>
    <w:rsid w:val="00C9075A"/>
    <w:rsid w:val="00C907D9"/>
    <w:rsid w:val="00C9247D"/>
    <w:rsid w:val="00C92BA0"/>
    <w:rsid w:val="00C960AD"/>
    <w:rsid w:val="00CA2AB1"/>
    <w:rsid w:val="00CA7B82"/>
    <w:rsid w:val="00CB00B3"/>
    <w:rsid w:val="00CB0E4C"/>
    <w:rsid w:val="00CB1773"/>
    <w:rsid w:val="00CB2ED8"/>
    <w:rsid w:val="00CB3AF7"/>
    <w:rsid w:val="00CB56B2"/>
    <w:rsid w:val="00CB75AA"/>
    <w:rsid w:val="00CC084F"/>
    <w:rsid w:val="00CC0AE5"/>
    <w:rsid w:val="00CC1E5A"/>
    <w:rsid w:val="00CC70F5"/>
    <w:rsid w:val="00CD2403"/>
    <w:rsid w:val="00CD277B"/>
    <w:rsid w:val="00CD6A41"/>
    <w:rsid w:val="00CE01A9"/>
    <w:rsid w:val="00CE370B"/>
    <w:rsid w:val="00CE5A41"/>
    <w:rsid w:val="00CE740D"/>
    <w:rsid w:val="00CF106E"/>
    <w:rsid w:val="00CF3389"/>
    <w:rsid w:val="00D00FAA"/>
    <w:rsid w:val="00D038E8"/>
    <w:rsid w:val="00D05D12"/>
    <w:rsid w:val="00D10A75"/>
    <w:rsid w:val="00D11ED3"/>
    <w:rsid w:val="00D1359E"/>
    <w:rsid w:val="00D148C7"/>
    <w:rsid w:val="00D16D50"/>
    <w:rsid w:val="00D17881"/>
    <w:rsid w:val="00D17DF7"/>
    <w:rsid w:val="00D21117"/>
    <w:rsid w:val="00D22819"/>
    <w:rsid w:val="00D23D47"/>
    <w:rsid w:val="00D24C5E"/>
    <w:rsid w:val="00D253E6"/>
    <w:rsid w:val="00D26391"/>
    <w:rsid w:val="00D3164D"/>
    <w:rsid w:val="00D335AF"/>
    <w:rsid w:val="00D33894"/>
    <w:rsid w:val="00D3695C"/>
    <w:rsid w:val="00D400FE"/>
    <w:rsid w:val="00D41C73"/>
    <w:rsid w:val="00D43C08"/>
    <w:rsid w:val="00D43CFA"/>
    <w:rsid w:val="00D44EDC"/>
    <w:rsid w:val="00D45C0E"/>
    <w:rsid w:val="00D47DCC"/>
    <w:rsid w:val="00D50B9A"/>
    <w:rsid w:val="00D50D6B"/>
    <w:rsid w:val="00D51363"/>
    <w:rsid w:val="00D5480A"/>
    <w:rsid w:val="00D55013"/>
    <w:rsid w:val="00D55B99"/>
    <w:rsid w:val="00D5617B"/>
    <w:rsid w:val="00D561F1"/>
    <w:rsid w:val="00D569E5"/>
    <w:rsid w:val="00D62872"/>
    <w:rsid w:val="00D64C19"/>
    <w:rsid w:val="00D65C7C"/>
    <w:rsid w:val="00D67365"/>
    <w:rsid w:val="00D67D15"/>
    <w:rsid w:val="00D71BA7"/>
    <w:rsid w:val="00D73B28"/>
    <w:rsid w:val="00D80D41"/>
    <w:rsid w:val="00D831E3"/>
    <w:rsid w:val="00D85489"/>
    <w:rsid w:val="00D85980"/>
    <w:rsid w:val="00D86FD8"/>
    <w:rsid w:val="00D90703"/>
    <w:rsid w:val="00D93758"/>
    <w:rsid w:val="00D949CD"/>
    <w:rsid w:val="00D96B8D"/>
    <w:rsid w:val="00DA25C9"/>
    <w:rsid w:val="00DA3D1A"/>
    <w:rsid w:val="00DB071E"/>
    <w:rsid w:val="00DB3AB0"/>
    <w:rsid w:val="00DB3BAD"/>
    <w:rsid w:val="00DB508D"/>
    <w:rsid w:val="00DB5174"/>
    <w:rsid w:val="00DB567B"/>
    <w:rsid w:val="00DB6CC7"/>
    <w:rsid w:val="00DC0495"/>
    <w:rsid w:val="00DC05B8"/>
    <w:rsid w:val="00DC53C0"/>
    <w:rsid w:val="00DC578F"/>
    <w:rsid w:val="00DC586F"/>
    <w:rsid w:val="00DD0B3F"/>
    <w:rsid w:val="00DD2F81"/>
    <w:rsid w:val="00DD409A"/>
    <w:rsid w:val="00DD5D59"/>
    <w:rsid w:val="00DE4974"/>
    <w:rsid w:val="00DF165E"/>
    <w:rsid w:val="00DF1EC7"/>
    <w:rsid w:val="00DF531F"/>
    <w:rsid w:val="00DF586F"/>
    <w:rsid w:val="00DF6DC7"/>
    <w:rsid w:val="00DF7725"/>
    <w:rsid w:val="00E009ED"/>
    <w:rsid w:val="00E01823"/>
    <w:rsid w:val="00E0203F"/>
    <w:rsid w:val="00E030B0"/>
    <w:rsid w:val="00E050F5"/>
    <w:rsid w:val="00E077CB"/>
    <w:rsid w:val="00E216C1"/>
    <w:rsid w:val="00E22072"/>
    <w:rsid w:val="00E257BF"/>
    <w:rsid w:val="00E26593"/>
    <w:rsid w:val="00E273B8"/>
    <w:rsid w:val="00E3492E"/>
    <w:rsid w:val="00E34E17"/>
    <w:rsid w:val="00E3541A"/>
    <w:rsid w:val="00E35F52"/>
    <w:rsid w:val="00E41878"/>
    <w:rsid w:val="00E42E7B"/>
    <w:rsid w:val="00E42FCE"/>
    <w:rsid w:val="00E46DD1"/>
    <w:rsid w:val="00E47AE4"/>
    <w:rsid w:val="00E53132"/>
    <w:rsid w:val="00E55913"/>
    <w:rsid w:val="00E578E1"/>
    <w:rsid w:val="00E60549"/>
    <w:rsid w:val="00E648FF"/>
    <w:rsid w:val="00E736BD"/>
    <w:rsid w:val="00E74666"/>
    <w:rsid w:val="00E748EA"/>
    <w:rsid w:val="00E75A18"/>
    <w:rsid w:val="00E8041A"/>
    <w:rsid w:val="00E81C16"/>
    <w:rsid w:val="00E82CB2"/>
    <w:rsid w:val="00E8636B"/>
    <w:rsid w:val="00E92EFD"/>
    <w:rsid w:val="00E95143"/>
    <w:rsid w:val="00E9799A"/>
    <w:rsid w:val="00EA0428"/>
    <w:rsid w:val="00EA4DE6"/>
    <w:rsid w:val="00EA636D"/>
    <w:rsid w:val="00EB1F5D"/>
    <w:rsid w:val="00EB3784"/>
    <w:rsid w:val="00EB381B"/>
    <w:rsid w:val="00EB5F93"/>
    <w:rsid w:val="00EB693E"/>
    <w:rsid w:val="00EC371F"/>
    <w:rsid w:val="00EC3A01"/>
    <w:rsid w:val="00ED08FB"/>
    <w:rsid w:val="00ED230A"/>
    <w:rsid w:val="00ED6A07"/>
    <w:rsid w:val="00ED76F8"/>
    <w:rsid w:val="00ED7CA4"/>
    <w:rsid w:val="00EE072F"/>
    <w:rsid w:val="00EE79D6"/>
    <w:rsid w:val="00EF1965"/>
    <w:rsid w:val="00EF5D91"/>
    <w:rsid w:val="00EF71FE"/>
    <w:rsid w:val="00F0070A"/>
    <w:rsid w:val="00F06C29"/>
    <w:rsid w:val="00F114D0"/>
    <w:rsid w:val="00F12771"/>
    <w:rsid w:val="00F134D4"/>
    <w:rsid w:val="00F147B2"/>
    <w:rsid w:val="00F214E7"/>
    <w:rsid w:val="00F23325"/>
    <w:rsid w:val="00F255E3"/>
    <w:rsid w:val="00F2566C"/>
    <w:rsid w:val="00F27D22"/>
    <w:rsid w:val="00F27E4F"/>
    <w:rsid w:val="00F303C0"/>
    <w:rsid w:val="00F305AC"/>
    <w:rsid w:val="00F31C4A"/>
    <w:rsid w:val="00F33E73"/>
    <w:rsid w:val="00F35AF4"/>
    <w:rsid w:val="00F36ED4"/>
    <w:rsid w:val="00F37035"/>
    <w:rsid w:val="00F37F48"/>
    <w:rsid w:val="00F40C3E"/>
    <w:rsid w:val="00F42B00"/>
    <w:rsid w:val="00F442F1"/>
    <w:rsid w:val="00F5074E"/>
    <w:rsid w:val="00F50A83"/>
    <w:rsid w:val="00F5116D"/>
    <w:rsid w:val="00F51E5B"/>
    <w:rsid w:val="00F520A4"/>
    <w:rsid w:val="00F52E4C"/>
    <w:rsid w:val="00F55A59"/>
    <w:rsid w:val="00F55C3F"/>
    <w:rsid w:val="00F56581"/>
    <w:rsid w:val="00F56694"/>
    <w:rsid w:val="00F573F1"/>
    <w:rsid w:val="00F60BA8"/>
    <w:rsid w:val="00F62014"/>
    <w:rsid w:val="00F636D1"/>
    <w:rsid w:val="00F636D6"/>
    <w:rsid w:val="00F655D5"/>
    <w:rsid w:val="00F66E45"/>
    <w:rsid w:val="00F715B5"/>
    <w:rsid w:val="00F718C9"/>
    <w:rsid w:val="00F75548"/>
    <w:rsid w:val="00F82EAB"/>
    <w:rsid w:val="00F8425E"/>
    <w:rsid w:val="00F91562"/>
    <w:rsid w:val="00FA28F2"/>
    <w:rsid w:val="00FA431E"/>
    <w:rsid w:val="00FA4C23"/>
    <w:rsid w:val="00FA7344"/>
    <w:rsid w:val="00FB309B"/>
    <w:rsid w:val="00FB4955"/>
    <w:rsid w:val="00FC00B5"/>
    <w:rsid w:val="00FC1211"/>
    <w:rsid w:val="00FC3217"/>
    <w:rsid w:val="00FC4787"/>
    <w:rsid w:val="00FC4BCB"/>
    <w:rsid w:val="00FC5AA1"/>
    <w:rsid w:val="00FC73F9"/>
    <w:rsid w:val="00FC7B7A"/>
    <w:rsid w:val="00FD1EEE"/>
    <w:rsid w:val="00FD3EE6"/>
    <w:rsid w:val="00FD487D"/>
    <w:rsid w:val="00FD51AF"/>
    <w:rsid w:val="00FD54D6"/>
    <w:rsid w:val="00FD5E00"/>
    <w:rsid w:val="00FE0B75"/>
    <w:rsid w:val="00FE2A8D"/>
    <w:rsid w:val="00FE54E3"/>
    <w:rsid w:val="00FF2D57"/>
    <w:rsid w:val="00FF46E6"/>
    <w:rsid w:val="00FF487F"/>
    <w:rsid w:val="00FF4B87"/>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9592"/>
  <w15:docId w15:val="{56FAB523-535A-42AE-8EFA-0CD20AB8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439C"/>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aliases w:val="bullet"/>
    <w:basedOn w:val="Normal"/>
    <w:link w:val="ListParagraphChar"/>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aliases w:val="bullet Char"/>
    <w:link w:val="ListParagraph"/>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 w:type="character" w:customStyle="1" w:styleId="UnresolvedMention1">
    <w:name w:val="Unresolved Mention1"/>
    <w:basedOn w:val="DefaultParagraphFont"/>
    <w:uiPriority w:val="99"/>
    <w:semiHidden/>
    <w:unhideWhenUsed/>
    <w:rsid w:val="00E92EFD"/>
    <w:rPr>
      <w:color w:val="605E5C"/>
      <w:shd w:val="clear" w:color="auto" w:fill="E1DFDD"/>
    </w:rPr>
  </w:style>
  <w:style w:type="character" w:customStyle="1" w:styleId="stepen">
    <w:name w:val="stepen"/>
    <w:basedOn w:val="DefaultParagraphFont"/>
    <w:rsid w:val="00665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yperlink" Target="mailto:tatjana.vojvodic@pi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jana.vojvodic@piu.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vojvodic@piu.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nctionsmap.eu/" TargetMode="Externa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hyperlink" Target="http://www.coebank.org/en/about/policies-and-guidelines/projects-and-loans-policies-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4765B-C3C5-41CB-9B5F-B0F2115D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djordje.belenzada</dc:creator>
  <cp:keywords/>
  <dc:description/>
  <cp:lastModifiedBy>Tatjana Vojvodic</cp:lastModifiedBy>
  <cp:revision>4</cp:revision>
  <cp:lastPrinted>2018-02-19T08:34:00Z</cp:lastPrinted>
  <dcterms:created xsi:type="dcterms:W3CDTF">2020-09-18T07:18:00Z</dcterms:created>
  <dcterms:modified xsi:type="dcterms:W3CDTF">2020-10-02T07:06:00Z</dcterms:modified>
</cp:coreProperties>
</file>