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0"/>
        <w:gridCol w:w="2421"/>
        <w:gridCol w:w="6141"/>
        <w:gridCol w:w="15"/>
      </w:tblGrid>
      <w:tr w:rsidR="00552F3B" w:rsidRPr="00552F3B" w14:paraId="01C5BF37" w14:textId="77777777" w:rsidTr="002828DF"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C72" w14:textId="77777777" w:rsidR="00421C6D" w:rsidRPr="00552F3B" w:rsidRDefault="00421C6D" w:rsidP="00154A4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546A" w14:textId="2691D4DE" w:rsidR="00CD0524" w:rsidRDefault="00CD0524" w:rsidP="002B1B6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Nastavak izvođenja radova na izgradnji </w:t>
            </w:r>
            <w:proofErr w:type="spellStart"/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višeporodičnog</w:t>
            </w:r>
            <w:proofErr w:type="spellEnd"/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stambenog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objekta </w:t>
            </w:r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u </w:t>
            </w:r>
            <w:proofErr w:type="spellStart"/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Lučanima</w:t>
            </w:r>
            <w:proofErr w:type="spellEnd"/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u okviru </w:t>
            </w:r>
            <w:r w:rsidR="002B1B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petog potprojekta</w:t>
            </w:r>
            <w:r w:rsidR="002B1B61"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CD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regionalnog stamb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enog programa</w:t>
            </w:r>
          </w:p>
          <w:p w14:paraId="53D08687" w14:textId="7F931598" w:rsidR="002B1B61" w:rsidRPr="00552F3B" w:rsidRDefault="002B1B61" w:rsidP="002B1B6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75F55714" w14:textId="77777777" w:rsidTr="002828DF"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01D" w14:textId="09E27C77" w:rsidR="002D6E25" w:rsidRPr="00552F3B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AD" w14:textId="3286677B" w:rsidR="002D6E25" w:rsidRPr="00552F3B" w:rsidRDefault="00F5074E" w:rsidP="009275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OBAVEŠTENJE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POKRETANJU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JAVNE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NABAVKE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– </w:t>
            </w:r>
            <w:r w:rsidR="009275C9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NACIONALNI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OTVORENI</w:t>
            </w:r>
            <w:r w:rsidR="003779ED"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POSTUPAK</w:t>
            </w:r>
          </w:p>
        </w:tc>
      </w:tr>
      <w:tr w:rsidR="00552F3B" w:rsidRPr="00552F3B" w14:paraId="1FFFCAA7" w14:textId="77777777" w:rsidTr="002828DF">
        <w:trPr>
          <w:trHeight w:val="23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92" w14:textId="77777777" w:rsidR="002D6E25" w:rsidRPr="00552F3B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10" w14:textId="77777777" w:rsidR="002D6E25" w:rsidRPr="00552F3B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5B0D793E" w14:textId="77777777" w:rsidTr="0012671C">
        <w:trPr>
          <w:gridAfter w:val="1"/>
          <w:wAfter w:w="8" w:type="pct"/>
          <w:trHeight w:val="43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F71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36C" w14:textId="77777777" w:rsidR="002D6E25" w:rsidRPr="00552F3B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CB56B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publikacije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1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A1E" w14:textId="34B1BA9C" w:rsidR="002D6E25" w:rsidRPr="00CD0524" w:rsidRDefault="00CD0524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CD052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RHP-W5-AB-CW/NOP2-2020</w:t>
            </w:r>
          </w:p>
        </w:tc>
      </w:tr>
      <w:tr w:rsidR="00552F3B" w:rsidRPr="00552F3B" w14:paraId="61DBDEA7" w14:textId="77777777" w:rsidTr="002828DF">
        <w:trPr>
          <w:trHeight w:val="28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3024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AF24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57492507" w14:textId="77777777" w:rsidTr="008C7C9E">
        <w:trPr>
          <w:trHeight w:val="288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022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0EAB" w14:textId="77777777" w:rsidR="002D6E25" w:rsidRPr="00552F3B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Program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finansiranje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427E" w14:textId="77777777" w:rsidR="00B00427" w:rsidRPr="00B00427" w:rsidRDefault="00B65D8F" w:rsidP="00B00427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Program: </w:t>
            </w:r>
            <w:r w:rsidR="00B00427" w:rsidRPr="00B004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– RHP/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Regionalni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B00427" w:rsidRPr="00B00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3B917D" w14:textId="6C7A847F" w:rsidR="002D6E25" w:rsidRPr="00552F3B" w:rsidRDefault="00B00427" w:rsidP="00B00427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petog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004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B00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B0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F3B" w:rsidRPr="00552F3B" w14:paraId="5ADB57C5" w14:textId="77777777" w:rsidTr="002828DF">
        <w:trPr>
          <w:trHeight w:val="454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55C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FC4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2482ECB9" w14:textId="77777777" w:rsidTr="008C7C9E">
        <w:trPr>
          <w:trHeight w:val="424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B0B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CBD" w14:textId="77777777" w:rsidR="002D6E25" w:rsidRPr="00552F3B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Ime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Naručioca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442" w14:textId="77777777" w:rsidR="00D33894" w:rsidRPr="00552F3B" w:rsidRDefault="00A90FA3" w:rsidP="00A90FA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''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edinica za upravljanje projektima u javnom sektoru''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</w:t>
            </w:r>
            <w:r w:rsidR="00C24953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C24953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C24953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Beograd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52F3B" w:rsidRPr="00552F3B" w14:paraId="14A4EEE6" w14:textId="77777777" w:rsidTr="002828DF">
        <w:trPr>
          <w:trHeight w:val="23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964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68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32A393C8" w14:textId="77777777" w:rsidTr="008C7C9E">
        <w:trPr>
          <w:trHeight w:val="363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C3D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9DC" w14:textId="77777777" w:rsidR="002D6E25" w:rsidRPr="00552F3B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Naručioca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6B28" w14:textId="5C689322" w:rsidR="00D33894" w:rsidRPr="00552F3B" w:rsidRDefault="00F5074E" w:rsidP="00A3560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Nemanjina</w:t>
            </w:r>
            <w:r w:rsidR="007B2823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22-26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A9208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11000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Beograd</w:t>
            </w:r>
            <w:r w:rsidR="00A9208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Srbija</w:t>
            </w:r>
          </w:p>
        </w:tc>
      </w:tr>
      <w:tr w:rsidR="00552F3B" w:rsidRPr="00552F3B" w14:paraId="33563825" w14:textId="77777777" w:rsidTr="002828DF">
        <w:trPr>
          <w:trHeight w:val="188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69D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2F67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275EAEBA" w14:textId="77777777" w:rsidTr="008C7C9E">
        <w:trPr>
          <w:trHeight w:val="507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FD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764" w14:textId="77777777" w:rsidR="002D6E25" w:rsidRPr="00552F3B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Internet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Naručioca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728" w14:textId="77777777" w:rsidR="002D6E25" w:rsidRPr="00552F3B" w:rsidRDefault="00C16F43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92081" w:rsidRPr="00552F3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www.piu.rs</w:t>
              </w:r>
            </w:hyperlink>
          </w:p>
        </w:tc>
      </w:tr>
      <w:tr w:rsidR="00552F3B" w:rsidRPr="00552F3B" w14:paraId="15FA87F6" w14:textId="77777777" w:rsidTr="002828DF">
        <w:trPr>
          <w:trHeight w:val="13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D33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03F" w14:textId="77777777" w:rsidR="002D6E25" w:rsidRPr="00552F3B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0D642B57" w14:textId="77777777" w:rsidTr="008C7C9E">
        <w:trPr>
          <w:trHeight w:val="614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40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FDA5" w14:textId="77777777" w:rsidR="002D6E25" w:rsidRPr="00552F3B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Tip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javne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nabavke</w:t>
            </w:r>
            <w:r w:rsidR="008D3F7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8327" w14:textId="56F5338D" w:rsidR="000E259C" w:rsidRPr="00552F3B" w:rsidRDefault="009275C9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Nacionalni</w:t>
            </w:r>
            <w:r w:rsidR="00D33894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o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tvoreni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5074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postupak</w:t>
            </w:r>
          </w:p>
        </w:tc>
      </w:tr>
      <w:tr w:rsidR="00552F3B" w:rsidRPr="00552F3B" w14:paraId="1CC62859" w14:textId="77777777" w:rsidTr="002828DF">
        <w:trPr>
          <w:trHeight w:val="21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69C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CBE" w14:textId="77777777" w:rsidR="002D6E25" w:rsidRPr="00552F3B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4441BA86" w14:textId="77777777" w:rsidTr="008C7C9E">
        <w:trPr>
          <w:trHeight w:val="614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135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8C6E" w14:textId="51328473" w:rsidR="00D65C7C" w:rsidRPr="00552F3B" w:rsidRDefault="00F5074E" w:rsidP="001267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Tip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AC4" w14:textId="77777777" w:rsidR="002D6E25" w:rsidRPr="00552F3B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779E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C3F7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izvođenju radova</w:t>
            </w:r>
          </w:p>
        </w:tc>
      </w:tr>
      <w:tr w:rsidR="00552F3B" w:rsidRPr="00552F3B" w14:paraId="154822D1" w14:textId="77777777" w:rsidTr="002828DF">
        <w:tc>
          <w:tcPr>
            <w:tcW w:w="30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ECC" w14:textId="77777777" w:rsidR="00973CF2" w:rsidRPr="00552F3B" w:rsidRDefault="00973CF2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2F7" w14:textId="77777777" w:rsidR="00973CF2" w:rsidRPr="00552F3B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Opis usluga:</w:t>
            </w:r>
          </w:p>
        </w:tc>
      </w:tr>
      <w:tr w:rsidR="00552F3B" w:rsidRPr="00552F3B" w14:paraId="550CAEAF" w14:textId="77777777" w:rsidTr="002828DF"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18A" w14:textId="77777777" w:rsidR="002D6E25" w:rsidRPr="00552F3B" w:rsidRDefault="002D6E25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5A4C64CB" w14:textId="77777777" w:rsidR="00973CF2" w:rsidRPr="00552F3B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3FC39949" w14:textId="77777777" w:rsidR="00973CF2" w:rsidRPr="00552F3B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61AE" w14:textId="77777777" w:rsidR="006B7537" w:rsidRPr="00552F3B" w:rsidRDefault="00F5074E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sporazumu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implementaciji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053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rograma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stambenom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zbrinjavanju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Srbiji</w:t>
            </w:r>
            <w:proofErr w:type="spellEnd"/>
            <w:r w:rsidR="00F27E4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izgradnja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višestambenih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objekata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predviđe</w:t>
            </w:r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jedan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modaliteta</w:t>
            </w:r>
            <w:proofErr w:type="spellEnd"/>
            <w:r w:rsidR="00C817B8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A1: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Višestambeni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će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sproveden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implementacionih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6B753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A9C3A16" w14:textId="77777777" w:rsidR="006B7537" w:rsidRPr="00552F3B" w:rsidRDefault="006B7537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Pomenuti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modalitet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stambenog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zbrinjavanja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definisan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zbrinjavanje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objektima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novim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izbeglice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žele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integrisati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lokalne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zajednice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korisnici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6D2AB7" w14:textId="7B71A9E5" w:rsidR="006B7537" w:rsidRPr="00552F3B" w:rsidRDefault="00F5074E" w:rsidP="00B0042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Obim</w:t>
            </w:r>
            <w:proofErr w:type="spellEnd"/>
            <w:r w:rsidR="002324D3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ovog</w:t>
            </w:r>
            <w:proofErr w:type="spellEnd"/>
            <w:r w:rsidR="002324D3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</w:t>
            </w:r>
            <w:proofErr w:type="spellEnd"/>
            <w:r w:rsidR="002324D3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podrazumeva</w:t>
            </w:r>
            <w:proofErr w:type="spellEnd"/>
            <w:r w:rsidR="002324D3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5600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izgradnju</w:t>
            </w:r>
            <w:proofErr w:type="spellEnd"/>
            <w:r w:rsidR="00A35600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5600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stamben</w:t>
            </w:r>
            <w:proofErr w:type="spellEnd"/>
            <w:r w:rsidR="00170674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6B7537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5600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zgrad</w:t>
            </w:r>
            <w:proofErr w:type="spellEnd"/>
            <w:r w:rsidR="00170674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E14D9D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4D9D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socijalnog</w:t>
            </w:r>
            <w:proofErr w:type="spellEnd"/>
            <w:r w:rsidR="00E14D9D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4D9D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stanovanja</w:t>
            </w:r>
            <w:proofErr w:type="spellEnd"/>
            <w:r w:rsidR="00E14D9D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75C9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</w:t>
            </w:r>
            <w:r w:rsidR="00A35600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Lučanima</w:t>
            </w:r>
            <w:proofErr w:type="spellEnd"/>
            <w:r w:rsidR="00BB02C6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00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(1</w:t>
            </w:r>
            <w:r w:rsidR="005F5D24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  <w:r w:rsidR="009275C9" w:rsidRP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stambenih jedinica)</w:t>
            </w:r>
          </w:p>
        </w:tc>
      </w:tr>
      <w:tr w:rsidR="00552F3B" w:rsidRPr="00552F3B" w14:paraId="0468C6EA" w14:textId="77777777" w:rsidTr="002828DF">
        <w:tc>
          <w:tcPr>
            <w:tcW w:w="30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152" w14:textId="77777777" w:rsidR="00973CF2" w:rsidRPr="00552F3B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C726" w14:textId="77777777" w:rsidR="00973CF2" w:rsidRPr="00552F3B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2C10325D" w14:textId="77777777" w:rsidTr="008C7C9E">
        <w:trPr>
          <w:trHeight w:val="74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4C6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863" w14:textId="77777777" w:rsidR="00083F35" w:rsidRPr="00552F3B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23A3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partija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ukoliko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je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podeljen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partije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9393" w14:textId="3C5E389B" w:rsidR="00D912A0" w:rsidRPr="00552F3B" w:rsidRDefault="009275C9" w:rsidP="009275C9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Nije podeljen na partije</w:t>
            </w:r>
            <w:r w:rsidR="002C031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</w:tr>
      <w:tr w:rsidR="00552F3B" w:rsidRPr="00552F3B" w14:paraId="12A13D1F" w14:textId="77777777" w:rsidTr="008C7C9E">
        <w:trPr>
          <w:trHeight w:val="74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8EA5" w14:textId="77777777" w:rsidR="00250807" w:rsidRPr="00552F3B" w:rsidRDefault="00250807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200B" w14:textId="784C2ACE" w:rsidR="00250807" w:rsidRPr="00552F3B" w:rsidRDefault="00250807" w:rsidP="0025080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Maksimalni budžet ugovora: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0024" w14:textId="5BDF9D5F" w:rsidR="00250807" w:rsidRPr="00552F3B" w:rsidRDefault="0021465C" w:rsidP="0025080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314.561,24 </w:t>
            </w:r>
            <w:r w:rsidR="0084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evra bez PDV</w:t>
            </w:r>
          </w:p>
        </w:tc>
      </w:tr>
      <w:tr w:rsidR="00552F3B" w:rsidRPr="00552F3B" w14:paraId="690A98B5" w14:textId="77777777" w:rsidTr="008C7C9E">
        <w:trPr>
          <w:trHeight w:val="155"/>
        </w:trPr>
        <w:tc>
          <w:tcPr>
            <w:tcW w:w="37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2E10" w14:textId="77777777" w:rsidR="00250807" w:rsidRPr="00552F3B" w:rsidRDefault="00250807" w:rsidP="00751F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CD6B" w14:textId="77777777" w:rsidR="00250807" w:rsidRPr="00552F3B" w:rsidRDefault="00250807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319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3ECA" w14:textId="77777777" w:rsidR="00250807" w:rsidRPr="00552F3B" w:rsidRDefault="00250807" w:rsidP="00991AE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63015672" w14:textId="77777777" w:rsidTr="008C7C9E">
        <w:trPr>
          <w:trHeight w:val="74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DB8" w14:textId="77777777" w:rsidR="007E3A0A" w:rsidRPr="00552F3B" w:rsidRDefault="007E3A0A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4933" w14:textId="474A5186" w:rsidR="007E3A0A" w:rsidRPr="00552F3B" w:rsidRDefault="00632BC7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Obilazak lokacije – datum mesto i vreme</w:t>
            </w:r>
            <w:r w:rsidRPr="00552F3B" w:rsidDel="0063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7E3A0A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D10A" w14:textId="77777777" w:rsidR="00632BC7" w:rsidRPr="00552F3B" w:rsidRDefault="00632BC7" w:rsidP="002828D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Ponuđaču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savetuje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poseti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pregleda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mesto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izvođenja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radova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njegovo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okruženje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lokaciju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14:paraId="5B3A2354" w14:textId="77777777" w:rsidR="00632BC7" w:rsidRPr="00552F3B" w:rsidRDefault="00632BC7" w:rsidP="002828D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Naručilac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omogućiti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obilazak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lokacija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izvođenje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radova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06A3E48" w14:textId="77275470" w:rsidR="00632BC7" w:rsidRPr="00552F3B" w:rsidRDefault="00632BC7" w:rsidP="002828D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Zainteresovana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dostavljaju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prijave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adresu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Naručioca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C84079" w:rsidRPr="008C7C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tatjana.vojvodic@piu.rs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moraju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primljene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ponu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đača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najkasnije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 (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dvadeset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dana pre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isteka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roka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prijem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ponuda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Obilazak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lokacije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moguć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15 (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petnaest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dana pre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isteka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roka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podnošenje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ponuda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6EDFCA0" w14:textId="3ADF53A2" w:rsidR="00D46708" w:rsidRPr="00C84079" w:rsidRDefault="00632BC7" w:rsidP="002828D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Predstavnici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ponu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đača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moraju podneti Pisano ovlašćenje radi učešća u obilasku lokacije. J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može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predstavljati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nog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ponuđača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2F3B" w:rsidRPr="00552F3B" w14:paraId="61E649AC" w14:textId="77777777" w:rsidTr="002828DF"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8D4" w14:textId="6BF145BE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8B1" w14:textId="77777777" w:rsidR="00083F35" w:rsidRPr="00552F3B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Trajanje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tip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okvirnog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okvirni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sa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jednim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dobavljačem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ili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sa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više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dobavljača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)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ako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se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zaključuje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okvirni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ugovor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552F3B" w:rsidRPr="00552F3B" w14:paraId="14F5C3C1" w14:textId="77777777" w:rsidTr="002828DF">
        <w:trPr>
          <w:trHeight w:val="508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07D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F8F" w14:textId="77777777" w:rsidR="002D6E25" w:rsidRPr="00552F3B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Nije</w:t>
            </w:r>
            <w:r w:rsidR="00A9208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primenljivo</w:t>
            </w:r>
          </w:p>
        </w:tc>
      </w:tr>
      <w:tr w:rsidR="00552F3B" w:rsidRPr="00552F3B" w14:paraId="249767E8" w14:textId="77777777" w:rsidTr="0012671C">
        <w:trPr>
          <w:trHeight w:val="16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C6F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672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7C52057F" w14:textId="77777777" w:rsidTr="008C7C9E">
        <w:trPr>
          <w:trHeight w:val="41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45D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7FC1" w14:textId="77777777" w:rsidR="002D6E25" w:rsidRPr="00552F3B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Kriterijumi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kvalifikacije</w:t>
            </w:r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552F3B" w:rsidRPr="00552F3B" w14:paraId="58177B40" w14:textId="77777777" w:rsidTr="002828DF">
        <w:trPr>
          <w:trHeight w:val="172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D909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0DF" w14:textId="77777777" w:rsidR="00F715B5" w:rsidRPr="00552F3B" w:rsidRDefault="00F5074E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Pravo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učešća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imaju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sva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zainteresovana</w:t>
            </w:r>
            <w:r w:rsidR="009F5074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lica</w:t>
            </w:r>
            <w:r w:rsidR="009F5074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koja</w:t>
            </w:r>
            <w:r w:rsidR="009F5074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nastupaju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pojedinačno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ili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BA0697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grupi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koja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ispunjavaju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kriterijume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učešće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definisane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delu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tenderske</w:t>
            </w:r>
            <w:r w:rsidR="00F715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dokumenacije</w:t>
            </w:r>
            <w:proofErr w:type="spellEnd"/>
            <w:r w:rsidR="00412F3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: </w:t>
            </w:r>
            <w:r w:rsidR="0003171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Sveska 1. Odeljak 1. Uputstvo Ponuđačima</w:t>
            </w:r>
            <w:r w:rsidR="00412F3F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9C7B75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Opšti deo,</w:t>
            </w:r>
            <w:r w:rsidR="00412F3F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03171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Tačka</w:t>
            </w:r>
            <w:r w:rsidR="00412F3F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3: </w:t>
            </w:r>
            <w:r w:rsidR="0003171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Učešće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kao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uslove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definisane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Vodiču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nabavku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dobara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radova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usluga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Banke</w:t>
            </w:r>
            <w:r w:rsidR="00BF3B9D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BF3B9D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razvoj</w:t>
            </w:r>
            <w:r w:rsidR="00BF3B9D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saveta</w:t>
            </w:r>
            <w:r w:rsidR="00BF3B9D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Evrope</w:t>
            </w:r>
            <w:r w:rsidR="00246CA2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;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Odeljak</w:t>
            </w:r>
            <w:r w:rsidR="00E216C1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3.3: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Podobnost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učestvovanje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postupku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obezbeđivanje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dobara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radova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2B65C9"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52F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usluga</w:t>
            </w:r>
            <w:r w:rsidR="002B65C9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14:paraId="6F7551B0" w14:textId="77777777" w:rsidR="002D6E25" w:rsidRPr="00552F3B" w:rsidRDefault="00C16F43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hyperlink r:id="rId9" w:history="1">
              <w:r w:rsidR="0042053E" w:rsidRPr="00552F3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2053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14:paraId="1B77A591" w14:textId="19552149" w:rsidR="00B47097" w:rsidRPr="00E06A21" w:rsidRDefault="00B47097" w:rsidP="00D41F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Takođe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Banka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Saveta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Evrope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neće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obezbediti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osigurati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sredstva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direktno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indirektno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korist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fizičkog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pravnog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podleže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finansijskim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sankcijama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nametnula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Evropska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Unija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bilo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samostalno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finansijskim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sankcijama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odredio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Savet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bezbednosti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Ujedinjenih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nacija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dostupan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sankcija</w:t>
            </w:r>
            <w:proofErr w:type="spellEnd"/>
            <w:r w:rsidRPr="00552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</w:t>
            </w:r>
            <w:hyperlink r:id="rId10" w:anchor="/main" w:history="1">
              <w:r w:rsidRPr="00552F3B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https://www.sanctionsmap.eu/#/main</w:t>
              </w:r>
            </w:hyperlink>
            <w:r w:rsidR="00D41FF5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2F3B" w:rsidRPr="00552F3B" w14:paraId="66E70B66" w14:textId="77777777" w:rsidTr="002828DF">
        <w:trPr>
          <w:trHeight w:val="23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C58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D280" w14:textId="77777777" w:rsidR="00553B7D" w:rsidRDefault="00553B7D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6BCA5E8D" w14:textId="77777777" w:rsidR="008C7C9E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4D9A3032" w14:textId="77777777" w:rsidR="008C7C9E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2F37DA70" w14:textId="77777777" w:rsidR="008C7C9E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0CC3C039" w14:textId="77777777" w:rsidR="008C7C9E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0BAC2A7F" w14:textId="77777777" w:rsidR="008C7C9E" w:rsidRPr="00552F3B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12137CFB" w14:textId="77777777" w:rsidTr="002828DF">
        <w:trPr>
          <w:trHeight w:val="74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9E9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207" w14:textId="77777777" w:rsidR="002D6E25" w:rsidRPr="00552F3B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Kriterijumi</w:t>
            </w:r>
            <w:proofErr w:type="spellEnd"/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izbora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52F3B" w:rsidRPr="00552F3B" w14:paraId="41A7D2DB" w14:textId="77777777" w:rsidTr="00250193">
        <w:trPr>
          <w:trHeight w:val="752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2C6" w14:textId="77777777" w:rsidR="002D6E25" w:rsidRPr="008C7C9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24" w14:textId="0976C767" w:rsidR="009C3B32" w:rsidRPr="008C7C9E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Ponuđači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obavezi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ispune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dolenav</w:t>
            </w:r>
            <w:proofErr w:type="spellEnd"/>
            <w:r w:rsidR="000E3373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e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dene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uslove</w:t>
            </w:r>
            <w:proofErr w:type="spellEnd"/>
            <w:r w:rsidR="00AB2B7D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46CA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EC7900" w14:textId="77777777" w:rsidR="00D00F6B" w:rsidRPr="008C7C9E" w:rsidRDefault="00D00F6B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4F9E5CDD" w14:textId="64974AE1" w:rsidR="0055519B" w:rsidRPr="008C7C9E" w:rsidRDefault="0055519B" w:rsidP="008C7C9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Finansijski kapacitet.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Ponuđač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mora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dokaže ispunjenost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sledećih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uslova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1B209885" w14:textId="77777777" w:rsidR="008C7C9E" w:rsidRPr="008C7C9E" w:rsidRDefault="008C7C9E" w:rsidP="008C7C9E">
            <w:pPr>
              <w:pStyle w:val="ListParagraph"/>
              <w:widowControl w:val="0"/>
              <w:tabs>
                <w:tab w:val="clear" w:pos="720"/>
              </w:tabs>
              <w:spacing w:after="0"/>
              <w:ind w:left="64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</w:p>
          <w:p w14:paraId="60EBD2AA" w14:textId="3F641050" w:rsidR="0055519B" w:rsidRPr="008C7C9E" w:rsidRDefault="0055519B" w:rsidP="00CB6B5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Stečaj i likvidacija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 D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 nad p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onuđačem</w:t>
            </w:r>
            <w:proofErr w:type="spellEnd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nije pokrenut postupak stečaja ili likvidacije, odnosno pre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hodni stečajni postupak.</w:t>
            </w:r>
          </w:p>
          <w:p w14:paraId="5CF12727" w14:textId="51FDAB62" w:rsidR="0055519B" w:rsidRPr="008C7C9E" w:rsidRDefault="0055519B" w:rsidP="0055519B">
            <w:pPr>
              <w:widowControl w:val="0"/>
              <w:tabs>
                <w:tab w:val="clear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 xml:space="preserve">Ova odredba se odnosi na sve ponuđače iz 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grupe ponuđača/konzorcijuma 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>i na sve podizvođače.</w:t>
            </w:r>
          </w:p>
          <w:p w14:paraId="21E48702" w14:textId="77777777" w:rsidR="0012671C" w:rsidRPr="008C7C9E" w:rsidRDefault="0012671C" w:rsidP="0055519B">
            <w:pPr>
              <w:widowControl w:val="0"/>
              <w:tabs>
                <w:tab w:val="clear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54383DF5" w14:textId="77777777" w:rsidR="0055519B" w:rsidRPr="008C7C9E" w:rsidRDefault="0055519B" w:rsidP="00CB6B5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1418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after="0"/>
              <w:contextualSpacing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Likvidnost.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Da ponuđač nije imao registrovane blokade računa u 12 (dvanaest) meseci pre dana objavljivanja  javnog poziva za podnošenje ponuda;</w:t>
            </w:r>
          </w:p>
          <w:p w14:paraId="0CADBF77" w14:textId="77777777" w:rsidR="0055519B" w:rsidRPr="008C7C9E" w:rsidRDefault="0055519B" w:rsidP="0055519B">
            <w:pPr>
              <w:tabs>
                <w:tab w:val="left" w:pos="1418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jc w:val="both"/>
              <w:outlineLvl w:val="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Ova odredba se odnosi na sve ponuđače iz grupe ponuđača/konzorcijuma i na sve podizvođače.</w:t>
            </w:r>
          </w:p>
          <w:p w14:paraId="3B38F545" w14:textId="59A463D8" w:rsidR="0055519B" w:rsidRPr="008C7C9E" w:rsidRDefault="0055519B" w:rsidP="00CB6B5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Poslovni prihod.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Da je Ponuđač u prethodne 3 (tri) obračunske godine (2017.                    2018. i 2019. godina) ostvario prosečan godišnji poslovni prihod u minimalnom iznosu od:  </w:t>
            </w:r>
            <w:r w:rsidR="00844F02" w:rsidRPr="0084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470</w:t>
            </w:r>
            <w:r w:rsidRPr="00844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.000,00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EUR;</w:t>
            </w:r>
          </w:p>
          <w:p w14:paraId="380E142E" w14:textId="342B4332" w:rsidR="0055519B" w:rsidRPr="008C7C9E" w:rsidRDefault="0055519B" w:rsidP="0055519B">
            <w:pPr>
              <w:tabs>
                <w:tab w:val="left" w:pos="1134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  * u evrima po srednjem kursu NBS koji je važeći na poslednji dan izveštajnog perioda.</w:t>
            </w:r>
          </w:p>
          <w:p w14:paraId="1C5EF2C4" w14:textId="3180DBEB" w:rsidR="0055519B" w:rsidRPr="008C7C9E" w:rsidRDefault="00E25EAE" w:rsidP="00E25EAE">
            <w:pPr>
              <w:tabs>
                <w:tab w:val="left" w:pos="-1440"/>
              </w:tabs>
              <w:ind w:left="601" w:right="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U slučaju zajedničke ponude vodeći član grupe ponuđača/konzorcijuma mora da ispuni minimum 50% ovog uslova</w:t>
            </w:r>
            <w:r w:rsidR="0055519B"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14:paraId="418BCF4B" w14:textId="58A7368C" w:rsidR="009D4407" w:rsidRPr="008C7C9E" w:rsidRDefault="009D4407" w:rsidP="0012671C">
            <w:pPr>
              <w:pStyle w:val="ListParagraph"/>
              <w:numPr>
                <w:ilvl w:val="0"/>
                <w:numId w:val="12"/>
              </w:numPr>
              <w:tabs>
                <w:tab w:val="left" w:pos="-1440"/>
              </w:tabs>
              <w:ind w:right="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Raspoloživa finansijska sredstva. </w:t>
            </w:r>
            <w:r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U slučaju podnošenja ponude, Ponuđač mora da demonstrira, potvrdom poslovne banke, izdatom nakon objavljivanja poziva za podnošenje ponuda, kojom se potvrđuje da su Ponuđaču dostupna ili da ima na raspolaganju </w:t>
            </w:r>
            <w:r w:rsidR="0012671C"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likvidna sredstva (kreditnu liniju i/ili </w:t>
            </w:r>
            <w:proofErr w:type="spellStart"/>
            <w:r w:rsidR="0012671C"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>višenamensku</w:t>
            </w:r>
            <w:proofErr w:type="spellEnd"/>
            <w:r w:rsidR="0012671C"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liniju ili druga likvidna finansijska sredstva)</w:t>
            </w:r>
            <w:r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u iznosu od:</w:t>
            </w:r>
          </w:p>
          <w:p w14:paraId="2B9C4A16" w14:textId="7109BC23" w:rsidR="009D4407" w:rsidRPr="008C7C9E" w:rsidRDefault="008C7C9E" w:rsidP="009D4407">
            <w:pPr>
              <w:pStyle w:val="ListParagraph"/>
              <w:tabs>
                <w:tab w:val="left" w:pos="-1440"/>
              </w:tabs>
              <w:ind w:left="1004" w:right="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420D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9</w:t>
            </w:r>
            <w:r w:rsidR="009D4407" w:rsidRPr="00420D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0.000,00</w:t>
            </w:r>
            <w:r w:rsidR="009D4407"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EUR</w:t>
            </w:r>
          </w:p>
          <w:p w14:paraId="18C30598" w14:textId="44762EAB" w:rsidR="009D4407" w:rsidRPr="008C7C9E" w:rsidRDefault="009D4407" w:rsidP="009D4407">
            <w:pPr>
              <w:pStyle w:val="ListParagraph"/>
              <w:tabs>
                <w:tab w:val="left" w:pos="-1440"/>
              </w:tabs>
              <w:ind w:left="1004" w:right="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U slučaju zajedničke ponude vodeći član grupe ponuđača/konzorcijuma mora da ispuni minimum 50% ovog uslova.</w:t>
            </w:r>
          </w:p>
          <w:p w14:paraId="6CD7B11D" w14:textId="77777777" w:rsidR="0055519B" w:rsidRPr="008C7C9E" w:rsidRDefault="0055519B" w:rsidP="00CB6B52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Kadrovski kapacitet.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Ponuđač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mora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dokaže ispunjenost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sledećih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uslova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29B2994D" w14:textId="77777777" w:rsidR="0055519B" w:rsidRPr="008C7C9E" w:rsidRDefault="0055519B" w:rsidP="00CB6B5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Ukupan broj zaposlenih.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Da ponuđač u mesecu koji prethodi mesecu u kome je objavljen javni poziv ima u radnom odnosu najmanje:</w:t>
            </w:r>
          </w:p>
          <w:p w14:paraId="43AFEAE0" w14:textId="77777777" w:rsidR="0055519B" w:rsidRPr="008C7C9E" w:rsidRDefault="0055519B" w:rsidP="0055519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14:paraId="241367BE" w14:textId="635999F4" w:rsidR="008C7C9E" w:rsidRPr="008C7C9E" w:rsidRDefault="0055519B" w:rsidP="008C7C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EF24DC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="00EF24DC" w:rsidRPr="00E71986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="00EF24DC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>kojih</w:t>
            </w:r>
            <w:proofErr w:type="spellEnd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="00E71986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7C9E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C9E" w:rsidRPr="00E71986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>moraju</w:t>
            </w:r>
            <w:proofErr w:type="spellEnd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>tehničko</w:t>
            </w:r>
            <w:proofErr w:type="spellEnd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039" w:rsidRPr="00E71986">
              <w:rPr>
                <w:rFonts w:ascii="Times New Roman" w:hAnsi="Times New Roman" w:cs="Times New Roman"/>
                <w:sz w:val="24"/>
                <w:szCs w:val="24"/>
              </w:rPr>
              <w:t>osoblje</w:t>
            </w:r>
            <w:proofErr w:type="spellEnd"/>
            <w:r w:rsidR="008C7C9E" w:rsidRPr="00E719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*;</w:t>
            </w:r>
            <w:r w:rsidR="008C7C9E" w:rsidRPr="008C7C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4ED26D4A" w14:textId="15B8919B" w:rsidR="0055519B" w:rsidRPr="008C7C9E" w:rsidRDefault="0055519B" w:rsidP="008C7C9E">
            <w:pPr>
              <w:tabs>
                <w:tab w:val="left" w:pos="-1440"/>
              </w:tabs>
              <w:ind w:right="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14:paraId="10FD51F4" w14:textId="6918385B" w:rsidR="0055519B" w:rsidRPr="008C7C9E" w:rsidRDefault="0055519B" w:rsidP="0055519B">
            <w:pPr>
              <w:pStyle w:val="ListParagraph"/>
              <w:ind w:left="64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lastRenderedPageBreak/>
              <w:t xml:space="preserve">U slučaju zajedničke ponude </w:t>
            </w:r>
            <w:r w:rsidR="00E25EAE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vodeći član grupe ponuđača/konzorcijuma mora da ispuni minimum 50% ovog uslova</w:t>
            </w:r>
            <w:r w:rsidRPr="008C7C9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14:paraId="613DA606" w14:textId="23D0D179" w:rsidR="0055519B" w:rsidRPr="008C7C9E" w:rsidRDefault="002828DF" w:rsidP="0055519B">
            <w:pPr>
              <w:pStyle w:val="ListParagraph"/>
              <w:ind w:left="6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*Videti Obrazac 4.6.1.1</w:t>
            </w:r>
          </w:p>
          <w:p w14:paraId="151730B7" w14:textId="77777777" w:rsidR="0055519B" w:rsidRPr="008C7C9E" w:rsidRDefault="0055519B" w:rsidP="00CB6B5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Stručni tim za realizaciju projekta.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Da ponuđač angažuje kvalifikovana lica koji će raditi na realizaciji projekta, i to:</w:t>
            </w:r>
          </w:p>
          <w:p w14:paraId="571C0BA7" w14:textId="77777777" w:rsidR="0012671C" w:rsidRPr="008C7C9E" w:rsidRDefault="0012671C" w:rsidP="0012671C">
            <w:pPr>
              <w:tabs>
                <w:tab w:val="clear" w:pos="720"/>
              </w:tabs>
              <w:suppressAutoHyphens w:val="0"/>
              <w:spacing w:after="0"/>
              <w:ind w:left="100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tbl>
            <w:tblPr>
              <w:tblW w:w="836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2127"/>
              <w:gridCol w:w="992"/>
              <w:gridCol w:w="992"/>
              <w:gridCol w:w="2268"/>
            </w:tblGrid>
            <w:tr w:rsidR="00552F3B" w:rsidRPr="00536DBE" w14:paraId="43019E37" w14:textId="77777777" w:rsidTr="000644A1">
              <w:trPr>
                <w:trHeight w:val="284"/>
              </w:trPr>
              <w:tc>
                <w:tcPr>
                  <w:tcW w:w="1984" w:type="dxa"/>
                  <w:shd w:val="clear" w:color="auto" w:fill="F2F2F2"/>
                  <w:vAlign w:val="center"/>
                </w:tcPr>
                <w:p w14:paraId="6A5CC32D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Pozicija</w:t>
                  </w:r>
                </w:p>
              </w:tc>
              <w:tc>
                <w:tcPr>
                  <w:tcW w:w="2127" w:type="dxa"/>
                  <w:shd w:val="clear" w:color="auto" w:fill="F2F2F2"/>
                  <w:vAlign w:val="center"/>
                </w:tcPr>
                <w:p w14:paraId="03B87795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Kvalifikacije</w:t>
                  </w: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14:paraId="56D047A0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Broj lica</w:t>
                  </w: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14:paraId="0F589D52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Licenca</w:t>
                  </w:r>
                </w:p>
              </w:tc>
              <w:tc>
                <w:tcPr>
                  <w:tcW w:w="2268" w:type="dxa"/>
                  <w:shd w:val="clear" w:color="auto" w:fill="F2F2F2"/>
                  <w:vAlign w:val="center"/>
                </w:tcPr>
                <w:p w14:paraId="5597FE3F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Osnov angažovanja</w:t>
                  </w:r>
                </w:p>
              </w:tc>
            </w:tr>
            <w:tr w:rsidR="00552F3B" w:rsidRPr="00536DBE" w14:paraId="6FCA6636" w14:textId="77777777" w:rsidTr="000644A1">
              <w:trPr>
                <w:trHeight w:val="284"/>
              </w:trPr>
              <w:tc>
                <w:tcPr>
                  <w:tcW w:w="1984" w:type="dxa"/>
                  <w:vAlign w:val="center"/>
                </w:tcPr>
                <w:p w14:paraId="301F69F7" w14:textId="1DBA6881" w:rsidR="0055519B" w:rsidRPr="00536DBE" w:rsidRDefault="0055519B" w:rsidP="000644A1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Odgovorni izvođač -</w:t>
                  </w:r>
                  <w:r w:rsidR="000644A1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 xml:space="preserve"> </w:t>
                  </w: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Predstavnik Izvođača</w:t>
                  </w:r>
                </w:p>
              </w:tc>
              <w:tc>
                <w:tcPr>
                  <w:tcW w:w="2127" w:type="dxa"/>
                  <w:vAlign w:val="center"/>
                </w:tcPr>
                <w:p w14:paraId="4030F53C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Diplomirani inženjer arhitekture ili Diplomirani građevinski inženjer</w:t>
                  </w:r>
                </w:p>
              </w:tc>
              <w:tc>
                <w:tcPr>
                  <w:tcW w:w="992" w:type="dxa"/>
                  <w:vAlign w:val="center"/>
                </w:tcPr>
                <w:p w14:paraId="313CC3BB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032DBAF9" w14:textId="18F5D5AD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400 ili 401 ili 410 ili 411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6A945D" w14:textId="77777777" w:rsidR="0055519B" w:rsidRPr="00536DBE" w:rsidRDefault="0055519B" w:rsidP="00536DB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radnom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odnosu</w:t>
                  </w:r>
                  <w:proofErr w:type="spellEnd"/>
                </w:p>
              </w:tc>
            </w:tr>
            <w:tr w:rsidR="00552F3B" w:rsidRPr="00536DBE" w14:paraId="66E40625" w14:textId="77777777" w:rsidTr="000644A1">
              <w:trPr>
                <w:trHeight w:val="284"/>
              </w:trPr>
              <w:tc>
                <w:tcPr>
                  <w:tcW w:w="1984" w:type="dxa"/>
                  <w:vAlign w:val="center"/>
                </w:tcPr>
                <w:p w14:paraId="42C01FD1" w14:textId="77777777" w:rsidR="0055519B" w:rsidRPr="00536DBE" w:rsidRDefault="0055519B" w:rsidP="000644A1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Odgovorni izvođač</w:t>
                  </w:r>
                </w:p>
              </w:tc>
              <w:tc>
                <w:tcPr>
                  <w:tcW w:w="2127" w:type="dxa"/>
                  <w:vAlign w:val="center"/>
                </w:tcPr>
                <w:p w14:paraId="5F91695E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992" w:type="dxa"/>
                  <w:vAlign w:val="center"/>
                </w:tcPr>
                <w:p w14:paraId="6884302F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323970A3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450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A2F6D4" w14:textId="48A26400" w:rsidR="0055519B" w:rsidRPr="00536DBE" w:rsidRDefault="0055519B" w:rsidP="00536DB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CS"/>
                    </w:rPr>
                  </w:pP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Angažovan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  <w:lang w:val="sr-Latn-CS"/>
                    </w:rPr>
                    <w:t>je</w:t>
                  </w:r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>po</w:t>
                  </w:r>
                  <w:proofErr w:type="spellEnd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>bilo</w:t>
                  </w:r>
                  <w:proofErr w:type="spellEnd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>kom</w:t>
                  </w:r>
                  <w:proofErr w:type="spellEnd"/>
                  <w:r w:rsid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zakonom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dozvoljenom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osnovu</w:t>
                  </w:r>
                  <w:proofErr w:type="spellEnd"/>
                </w:p>
              </w:tc>
            </w:tr>
            <w:tr w:rsidR="00552F3B" w:rsidRPr="00536DBE" w14:paraId="755CBCC8" w14:textId="77777777" w:rsidTr="000644A1">
              <w:trPr>
                <w:trHeight w:val="284"/>
              </w:trPr>
              <w:tc>
                <w:tcPr>
                  <w:tcW w:w="1984" w:type="dxa"/>
                  <w:vAlign w:val="center"/>
                </w:tcPr>
                <w:p w14:paraId="54CC9F31" w14:textId="77777777" w:rsidR="0055519B" w:rsidRPr="00536DBE" w:rsidRDefault="0055519B" w:rsidP="000644A1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Odgovorni izvođač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040E44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2" w:type="dxa"/>
                  <w:vAlign w:val="center"/>
                </w:tcPr>
                <w:p w14:paraId="3BA41D05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21FA2C40" w14:textId="77777777" w:rsidR="0055519B" w:rsidRPr="00536DBE" w:rsidRDefault="0055519B" w:rsidP="007521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  <w:t>430</w:t>
                  </w:r>
                </w:p>
              </w:tc>
              <w:tc>
                <w:tcPr>
                  <w:tcW w:w="2268" w:type="dxa"/>
                  <w:vAlign w:val="center"/>
                </w:tcPr>
                <w:p w14:paraId="15804827" w14:textId="77777777" w:rsidR="0055519B" w:rsidRPr="00536DBE" w:rsidRDefault="0055519B" w:rsidP="00536DB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CS"/>
                    </w:rPr>
                  </w:pP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Angažovan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  <w:lang w:val="sr-Latn-CS"/>
                    </w:rPr>
                    <w:t>je</w:t>
                  </w:r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po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bilo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kom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zakonom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dozvoljenom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  <w:color w:val="000000" w:themeColor="text1"/>
                    </w:rPr>
                    <w:t>osnovu</w:t>
                  </w:r>
                  <w:proofErr w:type="spellEnd"/>
                </w:p>
              </w:tc>
            </w:tr>
            <w:tr w:rsidR="00420D4A" w:rsidRPr="00536DBE" w14:paraId="072E864E" w14:textId="77777777" w:rsidTr="000644A1">
              <w:trPr>
                <w:trHeight w:val="284"/>
              </w:trPr>
              <w:tc>
                <w:tcPr>
                  <w:tcW w:w="1984" w:type="dxa"/>
                </w:tcPr>
                <w:p w14:paraId="7A307986" w14:textId="657A9F3E" w:rsidR="00420D4A" w:rsidRPr="00536DBE" w:rsidRDefault="00420D4A" w:rsidP="000644A1">
                  <w:pPr>
                    <w:spacing w:after="0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Odgovorni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izvođač</w:t>
                  </w:r>
                  <w:proofErr w:type="spellEnd"/>
                </w:p>
              </w:tc>
              <w:tc>
                <w:tcPr>
                  <w:tcW w:w="2127" w:type="dxa"/>
                </w:tcPr>
                <w:p w14:paraId="30B2FAAC" w14:textId="78F4E178" w:rsidR="00420D4A" w:rsidRPr="00536DBE" w:rsidRDefault="00420D4A" w:rsidP="00420D4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Diplomirani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inženjer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mašinstva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5D476F06" w14:textId="0B05CF78" w:rsidR="00420D4A" w:rsidRPr="00536DBE" w:rsidRDefault="00420D4A" w:rsidP="00420D4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87B3184" w14:textId="367A4069" w:rsidR="00420D4A" w:rsidRPr="00536DBE" w:rsidRDefault="00420D4A" w:rsidP="00420D4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lang w:val="sr-Latn-RS"/>
                    </w:rPr>
                  </w:pPr>
                  <w:r w:rsidRPr="00536DBE">
                    <w:rPr>
                      <w:rFonts w:ascii="Times New Roman" w:hAnsi="Times New Roman" w:cs="Times New Roman"/>
                    </w:rPr>
                    <w:t>434</w:t>
                  </w:r>
                </w:p>
              </w:tc>
              <w:tc>
                <w:tcPr>
                  <w:tcW w:w="2268" w:type="dxa"/>
                </w:tcPr>
                <w:p w14:paraId="492763DA" w14:textId="60DD4F15" w:rsidR="00420D4A" w:rsidRPr="00536DBE" w:rsidRDefault="00420D4A" w:rsidP="00536D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Angažovanje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po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bilo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kom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zakonom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dozvoljenom</w:t>
                  </w:r>
                  <w:proofErr w:type="spellEnd"/>
                  <w:r w:rsidRPr="00536D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36DBE">
                    <w:rPr>
                      <w:rFonts w:ascii="Times New Roman" w:hAnsi="Times New Roman" w:cs="Times New Roman"/>
                    </w:rPr>
                    <w:t>osnovu</w:t>
                  </w:r>
                  <w:proofErr w:type="spellEnd"/>
                </w:p>
              </w:tc>
            </w:tr>
          </w:tbl>
          <w:p w14:paraId="01C342D7" w14:textId="77777777" w:rsidR="0055519B" w:rsidRPr="008C7C9E" w:rsidRDefault="0055519B" w:rsidP="0055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14:paraId="3AE7E116" w14:textId="3A2B68A4" w:rsidR="0055519B" w:rsidRPr="008C7C9E" w:rsidRDefault="00250193" w:rsidP="0055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potrebe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Navedena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biće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angažovana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realizaciji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radno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minimalno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časova</w:t>
            </w:r>
            <w:proofErr w:type="spellEnd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nedeljno</w:t>
            </w:r>
            <w:proofErr w:type="spellEnd"/>
            <w:r w:rsidR="00E25EAE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u periodu njihovog angažovanja</w:t>
            </w:r>
            <w:r w:rsidR="0055519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Isto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može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biti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angažovano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više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pozicija</w:t>
            </w:r>
            <w:proofErr w:type="spellEnd"/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511156D" w14:textId="54B8AEF7" w:rsidR="0055519B" w:rsidRPr="008C7C9E" w:rsidRDefault="0055519B" w:rsidP="0055519B">
            <w:pPr>
              <w:tabs>
                <w:tab w:val="left" w:pos="216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navedena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najmanje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radnog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iskustva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poslovima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odgovornog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izvođača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relevantno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iskustvo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2AE432A3" w14:textId="03C1423D" w:rsidR="0055519B" w:rsidRPr="008C7C9E" w:rsidRDefault="00E25EAE" w:rsidP="005551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U slučaju zajedničke ponude vodeći član grupe ponuđača/konzorcijuma mora da ispuni minimum 50% ovog uslova</w:t>
            </w:r>
            <w:r w:rsidR="0055519B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14:paraId="0F776BD0" w14:textId="3AB9913D" w:rsidR="0055519B" w:rsidRPr="008C7C9E" w:rsidRDefault="0055519B" w:rsidP="0055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Ponuđač mora dostaviti u skladu sa Obrascem 4.6.1.2 i za svakog člana tima  kopiju </w:t>
            </w:r>
            <w:r w:rsidR="00752156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licence, i izjavu o angažovanju, dok je pored navedenog, za članove stručnog tima za koje se zahteva radni odnos kao osnov angažovanja neophodno dostaviti i  izvod/uverenje/potvrdu Centralnog registra obaveznog socijalnog osiguranja za mesec koji prethodi mesecu objavljivanja Javnog poziva za podnošenje ponuda</w:t>
            </w:r>
            <w:r w:rsidR="00B5316C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Naručilac zadržava pravo da traži dodatne dokaze.</w:t>
            </w:r>
          </w:p>
          <w:p w14:paraId="736FC0CF" w14:textId="77777777" w:rsidR="0055519B" w:rsidRPr="008C7C9E" w:rsidRDefault="0055519B" w:rsidP="0055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angažovana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licence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izdate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relevantnih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institucija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Srbije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Inženjerska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komora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Srbije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izvođenja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U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slučaju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dodeljen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zemlje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zemlje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Naručioca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angažuje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državljane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dužan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obezbedi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licence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izvođenje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propisima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Srbije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44B286" w14:textId="77777777" w:rsidR="0055519B" w:rsidRPr="008C7C9E" w:rsidRDefault="0055519B" w:rsidP="005551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Ponuđač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obavezi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obezbedi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zakonima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propisima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Srbije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radnike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kvalifikovana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građenje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obzira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zahteve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dokumentacije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2524175" w14:textId="5D769015" w:rsidR="00161B33" w:rsidRPr="008C7C9E" w:rsidRDefault="00161B33" w:rsidP="00CB6B52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C940D5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nički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kapacitet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Ponuđač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mora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dokaže ispunjenost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sledećih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uslova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3C5DCF15" w14:textId="02110750" w:rsidR="00C940D5" w:rsidRPr="008C7C9E" w:rsidRDefault="00C940D5" w:rsidP="00C940D5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43323" w14:textId="2261880B" w:rsidR="007E17D7" w:rsidRPr="008C7C9E" w:rsidRDefault="00346B58" w:rsidP="00CB6B5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Iskustvo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ponuđača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dokaže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samostalno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vodeći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onuđača</w:t>
            </w:r>
            <w:proofErr w:type="spellEnd"/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periodu</w:t>
            </w:r>
            <w:proofErr w:type="spellEnd"/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01.01.201</w:t>
            </w:r>
            <w:r w:rsid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objavljivanja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podnošenje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kompletno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izvedene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radove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izgradnji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rekonstrukciji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dogradnji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objekata</w:t>
            </w:r>
            <w:proofErr w:type="spellEnd"/>
            <w:r w:rsidR="00B8453C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B8453C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visokogradnje</w:t>
            </w:r>
            <w:proofErr w:type="spellEnd"/>
            <w:r w:rsidR="005755D3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**,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maksimalno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179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objekta</w:t>
            </w:r>
            <w:proofErr w:type="spellEnd"/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716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1C3C23C6" w14:textId="466B4626" w:rsidR="001438FA" w:rsidRPr="008C7C9E" w:rsidRDefault="001438FA" w:rsidP="00CB6B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objekat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ukupne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bruto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površine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zbiru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7C9E"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</w:t>
            </w:r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</w:t>
            </w:r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m</w:t>
            </w:r>
            <w:r w:rsidRPr="004E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CC2916A" w14:textId="262A25ED" w:rsidR="00250956" w:rsidRPr="008C7C9E" w:rsidRDefault="00250956" w:rsidP="0091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Ponuđač je dužan da za svaki izvedeni objekat dostavi potvrdu investitora/naručioca na obrascu 4.6.4.2. </w:t>
            </w:r>
            <w:r w:rsidR="002A6030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 pravosnažnu građevinsku dozvolu.</w:t>
            </w:r>
            <w:r w:rsidR="006D3840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B05D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Potvrda investitora/naručioca može biti dostavljena </w:t>
            </w:r>
            <w:r w:rsidR="00752427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i </w:t>
            </w:r>
            <w:r w:rsidR="00BB05D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kao original ili </w:t>
            </w:r>
            <w:proofErr w:type="spellStart"/>
            <w:r w:rsidR="00BB05D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neoverena</w:t>
            </w:r>
            <w:proofErr w:type="spellEnd"/>
            <w:r w:rsidR="00BB05D2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kopija drugog obrasca ukoliko sadrži sve podatke predviđene Obrascem 4.6.4.2</w:t>
            </w:r>
            <w:r w:rsidR="006D3840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.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Naručilac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zadržava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pravo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da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traži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dodatne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dokaze</w:t>
            </w:r>
            <w:proofErr w:type="spellEnd"/>
            <w:r w:rsidR="0029432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14:paraId="76B8B379" w14:textId="39FDAD12" w:rsidR="00917162" w:rsidRPr="005F51DC" w:rsidRDefault="007E17D7" w:rsidP="00917162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slučaju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zajedničke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ponude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vodeći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član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grupe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ponuđača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konzorcijuma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mora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ispuni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50%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ovog</w:t>
            </w:r>
            <w:proofErr w:type="spellEnd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uslova</w:t>
            </w:r>
            <w:proofErr w:type="spellEnd"/>
            <w:r w:rsidR="00E044A5"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044A5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(Ispunjenost ovog uslova koji se tiče vodećeg člana,  ceniće se prema kvadraturi.)</w:t>
            </w:r>
          </w:p>
          <w:p w14:paraId="10AFDE13" w14:textId="53E55950" w:rsidR="005755D3" w:rsidRPr="008C7C9E" w:rsidRDefault="00294218" w:rsidP="005F51DC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>*</w:t>
            </w:r>
            <w:r w:rsidR="005755D3"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sr-Latn-RS"/>
              </w:rPr>
              <w:t xml:space="preserve"> </w:t>
            </w:r>
            <w:r w:rsidR="00E94832" w:rsidRPr="008C7C9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/>
              </w:rPr>
              <w:t>Referentnim objektima će se smatrati kompletno završeni objekti</w:t>
            </w:r>
            <w:r w:rsidR="00E94832" w:rsidRPr="008C7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NL"/>
              </w:rPr>
              <w:t xml:space="preserve"> </w:t>
            </w:r>
            <w:r w:rsidR="00E94832" w:rsidRPr="008C7C9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it-IT"/>
              </w:rPr>
              <w:t>koji mogu biti započeti pre navedenog perioda, s tim da datum završetka mora biti unutar definisanog perioda</w:t>
            </w:r>
            <w:r w:rsidR="00E94832" w:rsidRPr="008C7C9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/>
              </w:rPr>
              <w:t>.</w:t>
            </w:r>
          </w:p>
          <w:p w14:paraId="5771BBA7" w14:textId="5BC40ED5" w:rsidR="005B2298" w:rsidRPr="008C7C9E" w:rsidRDefault="005755D3" w:rsidP="00A91304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sr-Latn-CS"/>
              </w:rPr>
            </w:pPr>
            <w:r w:rsidRPr="008C7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**Objekti visokogradnje prema tabeli, a u skladu sa Pravilnikom o klasifikaciji objekata ( </w:t>
            </w:r>
            <w:proofErr w:type="spellStart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Sl</w:t>
            </w:r>
            <w:proofErr w:type="spellEnd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glasnik</w:t>
            </w:r>
            <w:proofErr w:type="spellEnd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RS", </w:t>
            </w:r>
            <w:proofErr w:type="spellStart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br</w:t>
            </w:r>
            <w:proofErr w:type="spellEnd"/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. 22/2015</w:t>
            </w:r>
            <w:r w:rsidRPr="008C7C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sr-Latn-CS"/>
              </w:rPr>
              <w:t>)</w:t>
            </w:r>
          </w:p>
          <w:tbl>
            <w:tblPr>
              <w:tblStyle w:val="TableGrid"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1463"/>
              <w:gridCol w:w="1831"/>
            </w:tblGrid>
            <w:tr w:rsidR="00552F3B" w:rsidRPr="008C7C9E" w14:paraId="1F27D8EA" w14:textId="77777777" w:rsidTr="0012671C">
              <w:tc>
                <w:tcPr>
                  <w:tcW w:w="5240" w:type="dxa"/>
                  <w:shd w:val="clear" w:color="auto" w:fill="F2F2F2" w:themeFill="background1" w:themeFillShade="F2"/>
                </w:tcPr>
                <w:p w14:paraId="79D5B36D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Naziv</w:t>
                  </w:r>
                  <w:proofErr w:type="spellEnd"/>
                </w:p>
              </w:tc>
              <w:tc>
                <w:tcPr>
                  <w:tcW w:w="1463" w:type="dxa"/>
                  <w:shd w:val="clear" w:color="auto" w:fill="F2F2F2" w:themeFill="background1" w:themeFillShade="F2"/>
                </w:tcPr>
                <w:p w14:paraId="165164F8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</w:t>
                  </w:r>
                  <w:proofErr w:type="spellEnd"/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</w:tcPr>
                <w:p w14:paraId="4B9B480C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6F827919" w14:textId="77777777" w:rsidTr="0012671C">
              <w:tc>
                <w:tcPr>
                  <w:tcW w:w="5240" w:type="dxa"/>
                  <w:vAlign w:val="center"/>
                </w:tcPr>
                <w:p w14:paraId="56B959B4" w14:textId="77777777" w:rsidR="00B5316C" w:rsidRPr="008C7C9E" w:rsidRDefault="00B5316C" w:rsidP="00B5316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1FB34049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3AB5E798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02F7215A" w14:textId="77777777" w:rsidTr="0012671C">
              <w:tc>
                <w:tcPr>
                  <w:tcW w:w="5240" w:type="dxa"/>
                  <w:vAlign w:val="center"/>
                </w:tcPr>
                <w:p w14:paraId="7B6CADD6" w14:textId="77777777" w:rsidR="00B5316C" w:rsidRPr="008C7C9E" w:rsidRDefault="00B5316C" w:rsidP="00B5316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1355F164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631A4C89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6AA6E25D" w14:textId="77777777" w:rsidTr="0012671C">
              <w:tc>
                <w:tcPr>
                  <w:tcW w:w="5240" w:type="dxa"/>
                  <w:vAlign w:val="center"/>
                </w:tcPr>
                <w:p w14:paraId="5DC73DA7" w14:textId="77777777" w:rsidR="00B5316C" w:rsidRPr="008C7C9E" w:rsidRDefault="00B5316C" w:rsidP="00B5316C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Stambene zgrade sa jednim stanom</w:t>
                  </w:r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</w:tcPr>
                <w:p w14:paraId="3F952635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111</w:t>
                  </w:r>
                </w:p>
              </w:tc>
              <w:tc>
                <w:tcPr>
                  <w:tcW w:w="1831" w:type="dxa"/>
                  <w:vAlign w:val="center"/>
                </w:tcPr>
                <w:p w14:paraId="57E7975E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osim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111011</w:t>
                  </w:r>
                </w:p>
              </w:tc>
            </w:tr>
            <w:tr w:rsidR="00552F3B" w:rsidRPr="008C7C9E" w14:paraId="78524D60" w14:textId="77777777" w:rsidTr="0012671C">
              <w:tc>
                <w:tcPr>
                  <w:tcW w:w="5240" w:type="dxa"/>
                  <w:vAlign w:val="center"/>
                </w:tcPr>
                <w:p w14:paraId="1F46F53C" w14:textId="77777777" w:rsidR="00B5316C" w:rsidRPr="008C7C9E" w:rsidRDefault="00B5316C" w:rsidP="00B5316C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Stambene zgrade sa dva ili više stanova</w:t>
                  </w:r>
                </w:p>
              </w:tc>
              <w:tc>
                <w:tcPr>
                  <w:tcW w:w="1463" w:type="dxa"/>
                  <w:vAlign w:val="center"/>
                </w:tcPr>
                <w:p w14:paraId="003AC469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112</w:t>
                  </w:r>
                </w:p>
              </w:tc>
              <w:tc>
                <w:tcPr>
                  <w:tcW w:w="1831" w:type="dxa"/>
                  <w:vAlign w:val="center"/>
                </w:tcPr>
                <w:p w14:paraId="698D99CD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782BF12B" w14:textId="77777777" w:rsidTr="0012671C">
              <w:tc>
                <w:tcPr>
                  <w:tcW w:w="5240" w:type="dxa"/>
                  <w:vAlign w:val="center"/>
                </w:tcPr>
                <w:p w14:paraId="086F466D" w14:textId="77777777" w:rsidR="00B5316C" w:rsidRPr="008C7C9E" w:rsidRDefault="00B5316C" w:rsidP="00B5316C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stanovanje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zajednica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2FED8277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113</w:t>
                  </w:r>
                </w:p>
              </w:tc>
              <w:tc>
                <w:tcPr>
                  <w:tcW w:w="1831" w:type="dxa"/>
                  <w:vAlign w:val="center"/>
                </w:tcPr>
                <w:p w14:paraId="45B2D1EB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5FF430BA" w14:textId="77777777" w:rsidTr="0012671C">
              <w:tc>
                <w:tcPr>
                  <w:tcW w:w="5240" w:type="dxa"/>
                  <w:vAlign w:val="center"/>
                </w:tcPr>
                <w:p w14:paraId="48D005CB" w14:textId="77777777" w:rsidR="00B5316C" w:rsidRPr="008C7C9E" w:rsidRDefault="00B5316C" w:rsidP="00B5316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NESTAMBENE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6F7B0A4B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5E46DF5F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0916B24E" w14:textId="77777777" w:rsidTr="0012671C">
              <w:tc>
                <w:tcPr>
                  <w:tcW w:w="5240" w:type="dxa"/>
                  <w:vAlign w:val="center"/>
                </w:tcPr>
                <w:p w14:paraId="35FE3B05" w14:textId="77777777" w:rsidR="00B5316C" w:rsidRPr="008C7C9E" w:rsidRDefault="00B5316C" w:rsidP="00B5316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Hoteli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slične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752AF46C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121</w:t>
                  </w:r>
                </w:p>
              </w:tc>
              <w:tc>
                <w:tcPr>
                  <w:tcW w:w="1831" w:type="dxa"/>
                  <w:vAlign w:val="center"/>
                </w:tcPr>
                <w:p w14:paraId="0BEFC9A0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2374B6F3" w14:textId="77777777" w:rsidTr="0012671C">
              <w:tc>
                <w:tcPr>
                  <w:tcW w:w="5240" w:type="dxa"/>
                  <w:vAlign w:val="center"/>
                </w:tcPr>
                <w:p w14:paraId="46C31022" w14:textId="77777777" w:rsidR="00B5316C" w:rsidRPr="008C7C9E" w:rsidRDefault="00B5316C" w:rsidP="00B5316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Poslovne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</w:tcPr>
                <w:p w14:paraId="444ED23A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122</w:t>
                  </w:r>
                </w:p>
              </w:tc>
              <w:tc>
                <w:tcPr>
                  <w:tcW w:w="1831" w:type="dxa"/>
                  <w:vAlign w:val="center"/>
                </w:tcPr>
                <w:p w14:paraId="1EE3C7CD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28197016" w14:textId="77777777" w:rsidTr="0012671C">
              <w:tc>
                <w:tcPr>
                  <w:tcW w:w="5240" w:type="dxa"/>
                  <w:vAlign w:val="center"/>
                </w:tcPr>
                <w:p w14:paraId="4F9B59F3" w14:textId="77777777" w:rsidR="00B5316C" w:rsidRPr="00B470F6" w:rsidRDefault="00B5316C" w:rsidP="00B5316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</w:t>
                  </w:r>
                  <w:proofErr w:type="spellEnd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trgovinu</w:t>
                  </w:r>
                  <w:proofErr w:type="spellEnd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na</w:t>
                  </w:r>
                  <w:proofErr w:type="spellEnd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veliko</w:t>
                  </w:r>
                  <w:proofErr w:type="spellEnd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malo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15D698AB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123</w:t>
                  </w:r>
                </w:p>
              </w:tc>
              <w:tc>
                <w:tcPr>
                  <w:tcW w:w="1831" w:type="dxa"/>
                  <w:vAlign w:val="center"/>
                </w:tcPr>
                <w:p w14:paraId="64ABA658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3C4CBB1F" w14:textId="77777777" w:rsidTr="0012671C">
              <w:tc>
                <w:tcPr>
                  <w:tcW w:w="5240" w:type="dxa"/>
                  <w:vAlign w:val="center"/>
                </w:tcPr>
                <w:p w14:paraId="72EDC7F7" w14:textId="15FD74EB" w:rsidR="00B5316C" w:rsidRPr="00B470F6" w:rsidRDefault="00B5316C" w:rsidP="00CE301A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470F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Industrijske zgrade </w:t>
                  </w:r>
                </w:p>
              </w:tc>
              <w:tc>
                <w:tcPr>
                  <w:tcW w:w="1463" w:type="dxa"/>
                  <w:vAlign w:val="center"/>
                </w:tcPr>
                <w:p w14:paraId="271D55FA" w14:textId="77777777" w:rsidR="00B5316C" w:rsidRPr="004E437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4E437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1251</w:t>
                  </w:r>
                </w:p>
              </w:tc>
              <w:tc>
                <w:tcPr>
                  <w:tcW w:w="1831" w:type="dxa"/>
                  <w:vAlign w:val="center"/>
                </w:tcPr>
                <w:p w14:paraId="2B782C6A" w14:textId="77777777" w:rsidR="00B5316C" w:rsidRPr="004E437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3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3E01BF03" w14:textId="77777777" w:rsidTr="0012671C">
              <w:tc>
                <w:tcPr>
                  <w:tcW w:w="5240" w:type="dxa"/>
                  <w:vAlign w:val="center"/>
                </w:tcPr>
                <w:p w14:paraId="66B35B37" w14:textId="77777777" w:rsidR="00B5316C" w:rsidRPr="008C7C9E" w:rsidRDefault="00B5316C" w:rsidP="00B5316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kulturno-umetničku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delatnost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zabavu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obrazovanje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bolnice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ostale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zgrade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zdravstvenu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zaštitu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09BF4DB6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126</w:t>
                  </w:r>
                </w:p>
              </w:tc>
              <w:tc>
                <w:tcPr>
                  <w:tcW w:w="1831" w:type="dxa"/>
                  <w:vAlign w:val="center"/>
                </w:tcPr>
                <w:p w14:paraId="0B14F4D8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svi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pripradajući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klasifikacioni</w:t>
                  </w:r>
                  <w:proofErr w:type="spellEnd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brojevi</w:t>
                  </w:r>
                  <w:proofErr w:type="spellEnd"/>
                </w:p>
              </w:tc>
            </w:tr>
            <w:tr w:rsidR="00552F3B" w:rsidRPr="008C7C9E" w14:paraId="793402EA" w14:textId="77777777" w:rsidTr="0012671C">
              <w:tc>
                <w:tcPr>
                  <w:tcW w:w="5240" w:type="dxa"/>
                  <w:vAlign w:val="center"/>
                </w:tcPr>
                <w:p w14:paraId="6409A6F0" w14:textId="77777777" w:rsidR="00B5316C" w:rsidRPr="008C7C9E" w:rsidRDefault="00B5316C" w:rsidP="00B5316C">
                  <w:pPr>
                    <w:spacing w:before="12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OSTALE NESTAMBENE ZGRADE</w:t>
                  </w:r>
                </w:p>
              </w:tc>
              <w:tc>
                <w:tcPr>
                  <w:tcW w:w="1463" w:type="dxa"/>
                  <w:vAlign w:val="center"/>
                </w:tcPr>
                <w:p w14:paraId="61561EA6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3FE2C1DD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5FF3690C" w14:textId="77777777" w:rsidTr="0012671C">
              <w:trPr>
                <w:trHeight w:val="483"/>
              </w:trPr>
              <w:tc>
                <w:tcPr>
                  <w:tcW w:w="5240" w:type="dxa"/>
                  <w:vAlign w:val="center"/>
                </w:tcPr>
                <w:p w14:paraId="5B60BDB9" w14:textId="77777777" w:rsidR="00B5316C" w:rsidRPr="008C7C9E" w:rsidRDefault="00B5316C" w:rsidP="00B5316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Ostale zgrade, drugde </w:t>
                  </w:r>
                  <w:proofErr w:type="spellStart"/>
                  <w:r w:rsidRPr="008C7C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neklasifikovane</w:t>
                  </w:r>
                  <w:proofErr w:type="spellEnd"/>
                </w:p>
              </w:tc>
              <w:tc>
                <w:tcPr>
                  <w:tcW w:w="1463" w:type="dxa"/>
                  <w:vAlign w:val="center"/>
                </w:tcPr>
                <w:p w14:paraId="295B3FA5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2CA563D3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552F3B" w:rsidRPr="008C7C9E" w14:paraId="2CA5ACFC" w14:textId="77777777" w:rsidTr="0012671C">
              <w:trPr>
                <w:trHeight w:val="575"/>
              </w:trPr>
              <w:tc>
                <w:tcPr>
                  <w:tcW w:w="5240" w:type="dxa"/>
                  <w:vAlign w:val="center"/>
                </w:tcPr>
                <w:p w14:paraId="1811D192" w14:textId="77777777" w:rsidR="00B5316C" w:rsidRPr="008C7C9E" w:rsidRDefault="00B5316C" w:rsidP="00B5316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C7C9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Kasarne i ostale zgrade za vojsku, policiju ili vatrogasce</w:t>
                  </w:r>
                </w:p>
              </w:tc>
              <w:tc>
                <w:tcPr>
                  <w:tcW w:w="1463" w:type="dxa"/>
                  <w:vAlign w:val="center"/>
                </w:tcPr>
                <w:p w14:paraId="7EA18A34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C7C9E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  <w:lang w:val="sr-Latn-RS"/>
                    </w:rPr>
                    <w:t>127410</w:t>
                  </w:r>
                </w:p>
              </w:tc>
              <w:tc>
                <w:tcPr>
                  <w:tcW w:w="1831" w:type="dxa"/>
                  <w:vAlign w:val="center"/>
                </w:tcPr>
                <w:p w14:paraId="163FE7A0" w14:textId="77777777" w:rsidR="00B5316C" w:rsidRPr="008C7C9E" w:rsidRDefault="00B5316C" w:rsidP="00B5316C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14:paraId="11CE039C" w14:textId="77777777" w:rsidR="007E17D7" w:rsidRPr="008C7C9E" w:rsidRDefault="007E17D7" w:rsidP="00620B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</w:p>
          <w:p w14:paraId="655E06F7" w14:textId="032A4CB0" w:rsidR="00620BB9" w:rsidRPr="008C7C9E" w:rsidRDefault="00620BB9" w:rsidP="00CB6B5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Standardi i sertifikati.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Da Ponuđač poseduje sledeće sertifikate, u oblasti građevinskih radova:</w:t>
            </w:r>
          </w:p>
          <w:p w14:paraId="633E0E0A" w14:textId="4D340FE2" w:rsidR="00620BB9" w:rsidRPr="008C7C9E" w:rsidRDefault="00684FB7" w:rsidP="00CB6B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ISO 9001</w:t>
            </w:r>
            <w:r w:rsidR="00620BB9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  <w:r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620BB9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2015 Sistem upravljanja kvalitetom</w:t>
            </w:r>
            <w:r w:rsidR="005731FB" w:rsidRPr="008C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14:paraId="6C6389BC" w14:textId="3B0C09BC" w:rsidR="004A4FD9" w:rsidRPr="00250193" w:rsidRDefault="00917162" w:rsidP="00250193">
            <w:p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C7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CS"/>
              </w:rPr>
              <w:t>U slučaju podnošenja zajedničke ponude, vodeći član grupe ponuđača/konzorcijuma samostalno ispunjava postavljeni kriterijum.</w:t>
            </w:r>
          </w:p>
        </w:tc>
      </w:tr>
      <w:tr w:rsidR="00552F3B" w:rsidRPr="00552F3B" w14:paraId="7741A3F2" w14:textId="77777777" w:rsidTr="002828DF">
        <w:trPr>
          <w:trHeight w:val="22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237" w14:textId="71D13748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D5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6D972462" w14:textId="77777777" w:rsidTr="008C7C9E">
        <w:trPr>
          <w:trHeight w:val="294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82B0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283" w14:textId="767917B8" w:rsidR="002D6E25" w:rsidRPr="00552F3B" w:rsidRDefault="00F5074E" w:rsidP="00661A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Kriterijumi</w:t>
            </w:r>
            <w:proofErr w:type="spellEnd"/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dodele</w:t>
            </w:r>
            <w:proofErr w:type="spellEnd"/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A3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je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najniža</w:t>
            </w:r>
            <w:proofErr w:type="spellEnd"/>
            <w:r w:rsidR="00661A3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ponuđena</w:t>
            </w:r>
            <w:r w:rsidR="009E33F0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  <w:proofErr w:type="spellEnd"/>
            <w:r w:rsidR="00661A3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552F3B" w:rsidRPr="00552F3B" w14:paraId="7DE13A35" w14:textId="77777777" w:rsidTr="002828DF">
        <w:trPr>
          <w:trHeight w:val="172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7AB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BFD1" w14:textId="77777777" w:rsidR="00794A62" w:rsidRPr="00794A62" w:rsidRDefault="00794A62" w:rsidP="00794A6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Kriterijum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dodele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ekonomski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najpovoljnija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određena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najniža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ponuđena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5F05D5A0" w14:textId="793AA889" w:rsidR="002D6E25" w:rsidRPr="00552F3B" w:rsidRDefault="00794A62" w:rsidP="00794A6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Ukoliko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ponuđenu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prednost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daje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poslovnom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kapacitetu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dostavio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dokaze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izvedene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radove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objektima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veće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bruto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površine</w:t>
            </w:r>
            <w:proofErr w:type="spellEnd"/>
            <w:r w:rsidRPr="00794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2F3B" w:rsidRPr="00552F3B" w14:paraId="5F672A9E" w14:textId="77777777" w:rsidTr="002828DF">
        <w:trPr>
          <w:trHeight w:val="23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059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227" w14:textId="77777777" w:rsidR="008C7C9E" w:rsidRPr="00552F3B" w:rsidRDefault="008C7C9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2F3B" w:rsidRPr="00552F3B" w14:paraId="4423A7B1" w14:textId="77777777" w:rsidTr="008C7C9E">
        <w:trPr>
          <w:trHeight w:val="43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155" w14:textId="77777777" w:rsidR="00E72EB2" w:rsidRPr="00552F3B" w:rsidRDefault="00E72EB2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42F6" w14:textId="1518BDB1" w:rsidR="00E72EB2" w:rsidRPr="00552F3B" w:rsidRDefault="00E72EB2" w:rsidP="00D70885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Pristup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tenderskoj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dokumentaciji</w:t>
            </w:r>
            <w:proofErr w:type="spellEnd"/>
            <w:r w:rsidRPr="00552F3B">
              <w:rPr>
                <w:color w:val="000000" w:themeColor="text1"/>
                <w:lang w:val="sr-Latn-CS"/>
              </w:rPr>
              <w:t xml:space="preserve"> </w:t>
            </w:r>
          </w:p>
        </w:tc>
      </w:tr>
      <w:tr w:rsidR="00552F3B" w:rsidRPr="00552F3B" w14:paraId="24D4BDF4" w14:textId="77777777" w:rsidTr="002828DF">
        <w:trPr>
          <w:trHeight w:val="851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05A" w14:textId="77777777" w:rsidR="00E72EB2" w:rsidRPr="00552F3B" w:rsidRDefault="00E72EB2" w:rsidP="00154A42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440" w14:textId="5786DC56" w:rsidR="00455DA2" w:rsidRPr="00552F3B" w:rsidRDefault="00D70885" w:rsidP="00D708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Ponuđači mogu uputiti zahtev za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dostavlјanje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C3EE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Tenderske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dokumentacije putem elektronske pošte na </w:t>
            </w:r>
            <w:r w:rsidR="008C7C9E" w:rsidRPr="008C7C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tatjana.vojvodic@piu.rs</w:t>
            </w:r>
            <w:r w:rsidR="001250EA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455D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</w:p>
          <w:p w14:paraId="0D19761C" w14:textId="059673A9" w:rsidR="00E72EB2" w:rsidRPr="00552F3B" w:rsidRDefault="00D70885" w:rsidP="004C3E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prijemu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zahteva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Naručilac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će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staviti</w:t>
            </w:r>
            <w:proofErr w:type="spellEnd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putem</w:t>
            </w:r>
            <w:proofErr w:type="spellEnd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elektronske</w:t>
            </w:r>
            <w:proofErr w:type="spellEnd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pošte</w:t>
            </w:r>
            <w:proofErr w:type="spellEnd"/>
            <w:r w:rsidR="0025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3EE1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Tendersku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dokumentaciju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adresu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navedenu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ahtevu</w:t>
            </w:r>
            <w:proofErr w:type="spellEnd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dostavljanje</w:t>
            </w:r>
            <w:proofErr w:type="spellEnd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tenderske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dokumentacije</w:t>
            </w:r>
            <w:proofErr w:type="spellEnd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52F3B" w:rsidRPr="00552F3B" w14:paraId="5658EE6E" w14:textId="77777777" w:rsidTr="002828DF">
        <w:trPr>
          <w:trHeight w:val="343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12CF" w14:textId="77777777" w:rsidR="002D6E25" w:rsidRPr="00552F3B" w:rsidRDefault="002D6E25" w:rsidP="00E47AE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885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552F3B" w:rsidRPr="00552F3B" w14:paraId="1EEFAF76" w14:textId="77777777" w:rsidTr="008C7C9E">
        <w:trPr>
          <w:trHeight w:val="745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32E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0CB" w14:textId="77777777" w:rsidR="002D6E25" w:rsidRPr="00552F3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Podnošenje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podnošenje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7B9" w14:textId="77777777" w:rsidR="008F62E9" w:rsidRPr="005750C2" w:rsidRDefault="004F03C2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</w:t>
            </w:r>
            <w:proofErr w:type="spellEnd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trebalo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podneti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preporučeno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pismo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povratnicom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slučaju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ličnog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dostavljanja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predatom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potvrdom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prijemu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74E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ponude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81D1DDE" w14:textId="6641F8A2" w:rsidR="00790B38" w:rsidRPr="005750C2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Ponuda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podneti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sledeću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adresu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,,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projektima u javnom sektoru</w:t>
            </w:r>
            <w:r w:rsidR="005F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“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d.o.o. Beograd, Veljka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54, peti sprat - pisarnica, 11000 Beograd, Srbija.</w:t>
            </w:r>
          </w:p>
          <w:p w14:paraId="000FA731" w14:textId="7551BCC7" w:rsidR="008D0286" w:rsidRPr="005750C2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Ukoliko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dostavlja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lično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dostavljanje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,,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projektima u javnom sektoru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’’ d.o.o. Beograd, Veljka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54, peti sprat - pisarnica, 11000 Beograd, Srbija</w:t>
            </w:r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periodu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09:00</w:t>
            </w:r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 </w:t>
            </w:r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="002C031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15:</w:t>
            </w:r>
            <w:r w:rsidR="00A91304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</w:t>
            </w:r>
            <w:r w:rsidR="002C031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738DB899" w14:textId="34471062" w:rsidR="002D6E25" w:rsidRPr="005750C2" w:rsidRDefault="00F5074E" w:rsidP="009F02F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Krajnji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dostavljanje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790B38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E35F5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B285C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28.04</w:t>
            </w:r>
            <w:r w:rsidR="005750C2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.2021</w:t>
            </w:r>
            <w:r w:rsidR="007F2BFD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. </w:t>
            </w:r>
            <w:r w:rsidR="0017433A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godine do </w:t>
            </w:r>
            <w:r w:rsidR="00ED1373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11:0</w:t>
            </w:r>
            <w:r w:rsidR="008A1F46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 časova.</w:t>
            </w:r>
          </w:p>
        </w:tc>
      </w:tr>
      <w:tr w:rsidR="00552F3B" w:rsidRPr="00552F3B" w14:paraId="318C763E" w14:textId="77777777" w:rsidTr="002828DF">
        <w:trPr>
          <w:trHeight w:val="218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5F1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19B" w14:textId="77777777" w:rsidR="002D6E25" w:rsidRPr="005750C2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1FFF0DB0" w14:textId="77777777" w:rsidTr="008C7C9E">
        <w:trPr>
          <w:trHeight w:val="699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7AE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9246" w14:textId="77777777" w:rsidR="002D6E25" w:rsidRPr="00552F3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Sastanak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otvaranje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mesto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6F34" w14:textId="1E436D69" w:rsidR="002D6E25" w:rsidRPr="005750C2" w:rsidRDefault="00F5074E" w:rsidP="009F02F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Otvaranje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održaće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proofErr w:type="spellEnd"/>
            <w:r w:rsidR="00E35F52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28.04</w:t>
            </w:r>
            <w:r w:rsidR="005750C2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.2021</w:t>
            </w:r>
            <w:r w:rsidR="001675D1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8A1F46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godine </w:t>
            </w:r>
            <w:r w:rsidR="003C48F0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</w:t>
            </w:r>
            <w:r w:rsidR="00A148B8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12</w:t>
            </w:r>
            <w:r w:rsidR="00ED1373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:0</w:t>
            </w:r>
            <w:r w:rsidR="008A1F46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</w:t>
            </w:r>
            <w:r w:rsidR="008A1F46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časova</w:t>
            </w:r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prostorijama</w:t>
            </w:r>
            <w:proofErr w:type="spellEnd"/>
            <w:r w:rsidR="008F62E9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“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Jedinice za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projektima u javnom sektoru</w:t>
            </w:r>
            <w:r w:rsidR="007F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“</w:t>
            </w:r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d.o.o. Beograd, Veljka </w:t>
            </w:r>
            <w:proofErr w:type="spellStart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Dugoševića</w:t>
            </w:r>
            <w:proofErr w:type="spellEnd"/>
            <w:r w:rsidR="004F03C2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54, 11000 Beograd</w:t>
            </w:r>
            <w:r w:rsidR="00E736BD" w:rsidRPr="0057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2F3B" w:rsidRPr="00552F3B" w14:paraId="612AF5A9" w14:textId="77777777" w:rsidTr="002828DF">
        <w:trPr>
          <w:trHeight w:val="232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CB7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4FA9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0BE816C4" w14:textId="77777777" w:rsidTr="002828DF">
        <w:trPr>
          <w:trHeight w:val="696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A7B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34B6" w14:textId="77777777" w:rsidR="002D6E25" w:rsidRPr="00552F3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Uslovi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učešće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sastanku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otvaranje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52F3B" w:rsidRPr="00552F3B" w14:paraId="2C1B2E10" w14:textId="77777777" w:rsidTr="002828DF">
        <w:trPr>
          <w:trHeight w:val="1450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F5D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B89" w14:textId="685E9DF5" w:rsidR="002D6E25" w:rsidRPr="00552F3B" w:rsidRDefault="00F5074E" w:rsidP="001139F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Naručilac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će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otvarati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88E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javno</w:t>
            </w:r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prisustvu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ovlašćenih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predstavnika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žele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prisustvuju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vremenu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mestu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određenom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BA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Obaveštenju o pokretanju nabavke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Uputstvu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ponuđačima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Predstavnici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ponuđača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</w:t>
            </w:r>
            <w:proofErr w:type="spellEnd"/>
            <w:r w:rsidR="005028A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39F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aktivno učestvuju u postupku otvaranja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ponuda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obavezi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dostave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ovlašćenje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prisustvovanje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potpisivanje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potpišu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kojim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potvrđuju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svoje</w:t>
            </w:r>
            <w:proofErr w:type="spellEnd"/>
            <w:r w:rsidR="00E736BD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prisustvo</w:t>
            </w:r>
            <w:proofErr w:type="spellEnd"/>
            <w:r w:rsidR="009B341F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2F3B" w:rsidRPr="00552F3B" w14:paraId="612067C0" w14:textId="77777777" w:rsidTr="002828DF">
        <w:trPr>
          <w:trHeight w:val="238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BE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314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2E1656D2" w14:textId="77777777" w:rsidTr="008C7C9E">
        <w:trPr>
          <w:trHeight w:val="699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2783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29C" w14:textId="77777777" w:rsidR="002D6E25" w:rsidRPr="00552F3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donošenje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odluke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dodeli</w:t>
            </w:r>
            <w:proofErr w:type="spellEnd"/>
            <w:r w:rsidR="002F55CB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23A" w14:textId="19ABEE70" w:rsidR="002D6E25" w:rsidRPr="00552F3B" w:rsidRDefault="009F02FC" w:rsidP="00E93775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Jun</w:t>
            </w:r>
            <w:r w:rsidR="00E93775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6470E4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20</w:t>
            </w:r>
            <w:r w:rsidR="00346C91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21</w:t>
            </w:r>
            <w:r w:rsidR="006470E4" w:rsidRPr="009F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 godina</w:t>
            </w:r>
          </w:p>
        </w:tc>
      </w:tr>
      <w:tr w:rsidR="00552F3B" w:rsidRPr="00552F3B" w14:paraId="6EBC7C9C" w14:textId="77777777" w:rsidTr="002828DF">
        <w:trPr>
          <w:trHeight w:val="238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169" w14:textId="77777777" w:rsidR="002D6E25" w:rsidRPr="00552F3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8AF" w14:textId="77777777" w:rsidR="002D6E25" w:rsidRPr="00552F3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F3B" w:rsidRPr="00552F3B" w14:paraId="258A9CCA" w14:textId="77777777" w:rsidTr="008C7C9E">
        <w:trPr>
          <w:trHeight w:val="699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11C" w14:textId="77777777" w:rsidR="00083F35" w:rsidRPr="00552F3B" w:rsidRDefault="00083F3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37F" w14:textId="77777777" w:rsidR="00083F35" w:rsidRPr="00552F3B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</w:t>
            </w:r>
            <w:proofErr w:type="spellEnd"/>
            <w:r w:rsidR="00083F3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1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37A8" w14:textId="79BB260C" w:rsidR="005B1722" w:rsidRPr="00552F3B" w:rsidRDefault="007F3F0E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„</w:t>
            </w:r>
            <w:r w:rsidR="004F03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Jedinica za </w:t>
            </w:r>
            <w:proofErr w:type="spellStart"/>
            <w:r w:rsidR="004F03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upravlјanje</w:t>
            </w:r>
            <w:proofErr w:type="spellEnd"/>
            <w:r w:rsidR="004F03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projektima u javnom sektoru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“</w:t>
            </w:r>
            <w:r w:rsidR="004F03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d.o.o. Beograd</w:t>
            </w:r>
          </w:p>
          <w:p w14:paraId="21A06EFE" w14:textId="7CB4D34F" w:rsidR="00BC4928" w:rsidRPr="00552F3B" w:rsidRDefault="00BC4928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="0098460A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8C7C9E" w:rsidRPr="008C7C9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tatjana.vojvodic@piu.rs</w:t>
            </w:r>
          </w:p>
          <w:p w14:paraId="36B70013" w14:textId="23F83C19" w:rsidR="00455DA2" w:rsidRPr="00552F3B" w:rsidRDefault="00455DA2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2F3B" w:rsidRPr="00552F3B" w14:paraId="6D8EEF8B" w14:textId="77777777" w:rsidTr="002828DF"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EB4" w14:textId="77777777" w:rsidR="002D6E25" w:rsidRPr="00552F3B" w:rsidRDefault="002D6E25" w:rsidP="00CB6B52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6351" w14:textId="77777777" w:rsidR="002D6E25" w:rsidRPr="00552F3B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Ostale</w:t>
            </w:r>
            <w:proofErr w:type="spellEnd"/>
            <w:r w:rsidR="009432B5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informacije</w:t>
            </w:r>
            <w:proofErr w:type="spellEnd"/>
            <w:r w:rsidR="004511C2" w:rsidRPr="005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94A62" w:rsidRPr="00552F3B" w14:paraId="6D827FDB" w14:textId="77777777" w:rsidTr="002828DF">
        <w:trPr>
          <w:trHeight w:val="1371"/>
        </w:trPr>
        <w:tc>
          <w:tcPr>
            <w:tcW w:w="3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86" w14:textId="77777777" w:rsidR="00794A62" w:rsidRPr="00552F3B" w:rsidRDefault="00794A62" w:rsidP="00794A62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C4D" w14:textId="77777777" w:rsidR="00794A62" w:rsidRPr="002F7373" w:rsidRDefault="00794A62" w:rsidP="00794A6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Nabavke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CEB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406" w14:textId="72A05EE9" w:rsidR="00794A62" w:rsidRPr="00552F3B" w:rsidRDefault="00C16F43" w:rsidP="00794A6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hyperlink r:id="rId11" w:history="1">
              <w:r w:rsidR="00794A62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7F8B3B56" w14:textId="2FF26EC2" w:rsidR="0094410C" w:rsidRPr="00552F3B" w:rsidRDefault="0094410C" w:rsidP="0094410C">
      <w:pPr>
        <w:tabs>
          <w:tab w:val="clear" w:pos="720"/>
          <w:tab w:val="left" w:pos="38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4410C" w:rsidRPr="00552F3B" w:rsidSect="00DC1009">
      <w:footerReference w:type="default" r:id="rId12"/>
      <w:pgSz w:w="11907" w:h="16839" w:code="9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2AB25" w14:textId="77777777" w:rsidR="00C16F43" w:rsidRDefault="00C16F43" w:rsidP="00083F35">
      <w:pPr>
        <w:spacing w:after="0" w:line="240" w:lineRule="auto"/>
      </w:pPr>
      <w:r>
        <w:separator/>
      </w:r>
    </w:p>
  </w:endnote>
  <w:endnote w:type="continuationSeparator" w:id="0">
    <w:p w14:paraId="54D09D47" w14:textId="77777777" w:rsidR="00C16F43" w:rsidRDefault="00C16F43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7"/>
      <w:gridCol w:w="4406"/>
    </w:tblGrid>
    <w:tr w:rsidR="00E65EFC" w:rsidRPr="00F5074E" w14:paraId="173A39EC" w14:textId="77777777" w:rsidTr="00154A42">
      <w:tc>
        <w:tcPr>
          <w:tcW w:w="4773" w:type="dxa"/>
          <w:shd w:val="clear" w:color="auto" w:fill="auto"/>
        </w:tcPr>
        <w:p w14:paraId="3407A86B" w14:textId="08D21A9F" w:rsidR="00E65EFC" w:rsidRPr="00F5074E" w:rsidRDefault="00E65EFC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</w:t>
          </w:r>
          <w:r w:rsidR="004C57B9">
            <w:rPr>
              <w:rFonts w:ascii="Roboto" w:hAnsi="Roboto"/>
              <w:sz w:val="20"/>
              <w:szCs w:val="20"/>
              <w:lang w:val="sr-Latn-CS"/>
            </w:rPr>
            <w:t>20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24D4EAA3" w14:textId="77777777" w:rsidR="00E65EFC" w:rsidRPr="00F5074E" w:rsidRDefault="00E65EFC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7F3F0E">
            <w:rPr>
              <w:rFonts w:ascii="Roboto" w:hAnsi="Roboto"/>
              <w:noProof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FCCC9E2" w14:textId="77777777" w:rsidR="00E65EFC" w:rsidRPr="00F5074E" w:rsidRDefault="00E65EFC" w:rsidP="00083F35">
    <w:pPr>
      <w:pStyle w:val="Footer"/>
      <w:rPr>
        <w:lang w:val="sr-Latn-CS"/>
      </w:rPr>
    </w:pPr>
  </w:p>
  <w:p w14:paraId="5E69B0F3" w14:textId="77777777" w:rsidR="00E65EFC" w:rsidRDefault="00E65EFC" w:rsidP="00083F35">
    <w:pPr>
      <w:pStyle w:val="Footer"/>
    </w:pPr>
  </w:p>
  <w:p w14:paraId="17B64FEB" w14:textId="77777777" w:rsidR="00E65EFC" w:rsidRDefault="00E6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CA2B" w14:textId="77777777" w:rsidR="00C16F43" w:rsidRDefault="00C16F43" w:rsidP="00083F35">
      <w:pPr>
        <w:spacing w:after="0" w:line="240" w:lineRule="auto"/>
      </w:pPr>
      <w:r>
        <w:separator/>
      </w:r>
    </w:p>
  </w:footnote>
  <w:footnote w:type="continuationSeparator" w:id="0">
    <w:p w14:paraId="0A6B192C" w14:textId="77777777" w:rsidR="00C16F43" w:rsidRDefault="00C16F43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EBD"/>
    <w:multiLevelType w:val="hybridMultilevel"/>
    <w:tmpl w:val="5DA270E8"/>
    <w:lvl w:ilvl="0" w:tplc="888E20E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A95AE7"/>
    <w:multiLevelType w:val="hybridMultilevel"/>
    <w:tmpl w:val="AB52E84E"/>
    <w:lvl w:ilvl="0" w:tplc="4AAC3136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1BD310A"/>
    <w:multiLevelType w:val="hybridMultilevel"/>
    <w:tmpl w:val="84F8BC5A"/>
    <w:lvl w:ilvl="0" w:tplc="B388D5A4">
      <w:start w:val="1"/>
      <w:numFmt w:val="bullet"/>
      <w:lvlText w:val="-"/>
      <w:lvlJc w:val="left"/>
      <w:pPr>
        <w:ind w:left="1083" w:hanging="360"/>
      </w:pPr>
      <w:rPr>
        <w:rFonts w:ascii="Times New Roman" w:eastAsia="WenQuanYi Micro He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2BB4087"/>
    <w:multiLevelType w:val="hybridMultilevel"/>
    <w:tmpl w:val="C47AF4F4"/>
    <w:lvl w:ilvl="0" w:tplc="2A7650C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3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D0D29FB"/>
    <w:multiLevelType w:val="hybridMultilevel"/>
    <w:tmpl w:val="28AA5A86"/>
    <w:lvl w:ilvl="0" w:tplc="EE9EA1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sNaACkxe8wsAAAA"/>
  </w:docVars>
  <w:rsids>
    <w:rsidRoot w:val="002D6E25"/>
    <w:rsid w:val="00001FD9"/>
    <w:rsid w:val="000028FA"/>
    <w:rsid w:val="000033C0"/>
    <w:rsid w:val="00005BE2"/>
    <w:rsid w:val="00007125"/>
    <w:rsid w:val="00011DE5"/>
    <w:rsid w:val="00013B9B"/>
    <w:rsid w:val="000151A3"/>
    <w:rsid w:val="00016B22"/>
    <w:rsid w:val="000178DF"/>
    <w:rsid w:val="00020AB9"/>
    <w:rsid w:val="00021B6A"/>
    <w:rsid w:val="000226FA"/>
    <w:rsid w:val="00023254"/>
    <w:rsid w:val="00031712"/>
    <w:rsid w:val="00033918"/>
    <w:rsid w:val="000427F3"/>
    <w:rsid w:val="000430BD"/>
    <w:rsid w:val="0005077D"/>
    <w:rsid w:val="000532DB"/>
    <w:rsid w:val="00054E01"/>
    <w:rsid w:val="00055D3F"/>
    <w:rsid w:val="00060623"/>
    <w:rsid w:val="00061A80"/>
    <w:rsid w:val="000644A1"/>
    <w:rsid w:val="000650A7"/>
    <w:rsid w:val="0006550E"/>
    <w:rsid w:val="00065818"/>
    <w:rsid w:val="000677D9"/>
    <w:rsid w:val="0008185B"/>
    <w:rsid w:val="00081CEC"/>
    <w:rsid w:val="00081FA7"/>
    <w:rsid w:val="00083F35"/>
    <w:rsid w:val="00090BB3"/>
    <w:rsid w:val="0009352E"/>
    <w:rsid w:val="00093924"/>
    <w:rsid w:val="000939BF"/>
    <w:rsid w:val="000952E6"/>
    <w:rsid w:val="000953B9"/>
    <w:rsid w:val="00095C3E"/>
    <w:rsid w:val="00096388"/>
    <w:rsid w:val="000A1FA5"/>
    <w:rsid w:val="000A4162"/>
    <w:rsid w:val="000A68FC"/>
    <w:rsid w:val="000A6CEE"/>
    <w:rsid w:val="000B3DF3"/>
    <w:rsid w:val="000B4C17"/>
    <w:rsid w:val="000B50C2"/>
    <w:rsid w:val="000C00A3"/>
    <w:rsid w:val="000C24E9"/>
    <w:rsid w:val="000D07CF"/>
    <w:rsid w:val="000D20F0"/>
    <w:rsid w:val="000D6EF0"/>
    <w:rsid w:val="000E05D4"/>
    <w:rsid w:val="000E0E3C"/>
    <w:rsid w:val="000E259C"/>
    <w:rsid w:val="000E3373"/>
    <w:rsid w:val="000E52FD"/>
    <w:rsid w:val="000F0B46"/>
    <w:rsid w:val="000F1560"/>
    <w:rsid w:val="000F2A3F"/>
    <w:rsid w:val="000F550E"/>
    <w:rsid w:val="00100473"/>
    <w:rsid w:val="00111AC5"/>
    <w:rsid w:val="001139F5"/>
    <w:rsid w:val="00114C96"/>
    <w:rsid w:val="00115496"/>
    <w:rsid w:val="0012293E"/>
    <w:rsid w:val="001250EA"/>
    <w:rsid w:val="0012515E"/>
    <w:rsid w:val="001261A9"/>
    <w:rsid w:val="0012671C"/>
    <w:rsid w:val="001311AB"/>
    <w:rsid w:val="001321F5"/>
    <w:rsid w:val="0013478F"/>
    <w:rsid w:val="00134E79"/>
    <w:rsid w:val="001403C9"/>
    <w:rsid w:val="001424B4"/>
    <w:rsid w:val="001438FA"/>
    <w:rsid w:val="001472D7"/>
    <w:rsid w:val="00147F26"/>
    <w:rsid w:val="001537F3"/>
    <w:rsid w:val="00154A42"/>
    <w:rsid w:val="00154FDF"/>
    <w:rsid w:val="00155176"/>
    <w:rsid w:val="001572BB"/>
    <w:rsid w:val="00160762"/>
    <w:rsid w:val="00161B33"/>
    <w:rsid w:val="00165565"/>
    <w:rsid w:val="00167228"/>
    <w:rsid w:val="001675D1"/>
    <w:rsid w:val="00167B60"/>
    <w:rsid w:val="00170674"/>
    <w:rsid w:val="0017433A"/>
    <w:rsid w:val="00177EFF"/>
    <w:rsid w:val="00182471"/>
    <w:rsid w:val="001859AA"/>
    <w:rsid w:val="001859F5"/>
    <w:rsid w:val="00191F1B"/>
    <w:rsid w:val="00195D05"/>
    <w:rsid w:val="00196299"/>
    <w:rsid w:val="001A4007"/>
    <w:rsid w:val="001B0A79"/>
    <w:rsid w:val="001B1821"/>
    <w:rsid w:val="001B3EC5"/>
    <w:rsid w:val="001C039A"/>
    <w:rsid w:val="001C5886"/>
    <w:rsid w:val="001C5F3D"/>
    <w:rsid w:val="001D0D59"/>
    <w:rsid w:val="001D3279"/>
    <w:rsid w:val="001D3F8C"/>
    <w:rsid w:val="001E1D6A"/>
    <w:rsid w:val="001E37E8"/>
    <w:rsid w:val="001E39BA"/>
    <w:rsid w:val="001E6119"/>
    <w:rsid w:val="001F14FC"/>
    <w:rsid w:val="001F550B"/>
    <w:rsid w:val="002140D1"/>
    <w:rsid w:val="0021465C"/>
    <w:rsid w:val="00214CC5"/>
    <w:rsid w:val="00215659"/>
    <w:rsid w:val="002207C4"/>
    <w:rsid w:val="00220AE2"/>
    <w:rsid w:val="00220D68"/>
    <w:rsid w:val="00221593"/>
    <w:rsid w:val="00230DE3"/>
    <w:rsid w:val="002324D3"/>
    <w:rsid w:val="002345A3"/>
    <w:rsid w:val="00235149"/>
    <w:rsid w:val="002361B0"/>
    <w:rsid w:val="0024114F"/>
    <w:rsid w:val="0024580B"/>
    <w:rsid w:val="00246CA2"/>
    <w:rsid w:val="002472EB"/>
    <w:rsid w:val="00247A0D"/>
    <w:rsid w:val="00250193"/>
    <w:rsid w:val="00250454"/>
    <w:rsid w:val="00250746"/>
    <w:rsid w:val="00250807"/>
    <w:rsid w:val="00250956"/>
    <w:rsid w:val="002519CE"/>
    <w:rsid w:val="002520DD"/>
    <w:rsid w:val="00253AD2"/>
    <w:rsid w:val="00255815"/>
    <w:rsid w:val="00260CB1"/>
    <w:rsid w:val="00261625"/>
    <w:rsid w:val="00263FCF"/>
    <w:rsid w:val="00274922"/>
    <w:rsid w:val="0027644A"/>
    <w:rsid w:val="00280629"/>
    <w:rsid w:val="00281E01"/>
    <w:rsid w:val="002828DF"/>
    <w:rsid w:val="00284166"/>
    <w:rsid w:val="00284980"/>
    <w:rsid w:val="002903BB"/>
    <w:rsid w:val="00293306"/>
    <w:rsid w:val="00294218"/>
    <w:rsid w:val="0029432B"/>
    <w:rsid w:val="00295600"/>
    <w:rsid w:val="002A191C"/>
    <w:rsid w:val="002A271B"/>
    <w:rsid w:val="002A52A2"/>
    <w:rsid w:val="002A6030"/>
    <w:rsid w:val="002B05B9"/>
    <w:rsid w:val="002B1B61"/>
    <w:rsid w:val="002B38FA"/>
    <w:rsid w:val="002B51CF"/>
    <w:rsid w:val="002B65C9"/>
    <w:rsid w:val="002B699C"/>
    <w:rsid w:val="002B7AB9"/>
    <w:rsid w:val="002C0312"/>
    <w:rsid w:val="002C1C1D"/>
    <w:rsid w:val="002C2C62"/>
    <w:rsid w:val="002C5E54"/>
    <w:rsid w:val="002D6AD7"/>
    <w:rsid w:val="002D6E25"/>
    <w:rsid w:val="002E14CF"/>
    <w:rsid w:val="002E1A3D"/>
    <w:rsid w:val="002E5412"/>
    <w:rsid w:val="002F4224"/>
    <w:rsid w:val="002F55CB"/>
    <w:rsid w:val="002F7373"/>
    <w:rsid w:val="00306A8F"/>
    <w:rsid w:val="00310452"/>
    <w:rsid w:val="003122FB"/>
    <w:rsid w:val="0031288D"/>
    <w:rsid w:val="00317D85"/>
    <w:rsid w:val="003202C7"/>
    <w:rsid w:val="0032132A"/>
    <w:rsid w:val="00323D35"/>
    <w:rsid w:val="00332CB2"/>
    <w:rsid w:val="0034121F"/>
    <w:rsid w:val="00345088"/>
    <w:rsid w:val="00345CC7"/>
    <w:rsid w:val="00346039"/>
    <w:rsid w:val="00346AF0"/>
    <w:rsid w:val="00346B58"/>
    <w:rsid w:val="00346C91"/>
    <w:rsid w:val="003473FD"/>
    <w:rsid w:val="00350004"/>
    <w:rsid w:val="00352606"/>
    <w:rsid w:val="00355A86"/>
    <w:rsid w:val="00356770"/>
    <w:rsid w:val="00357842"/>
    <w:rsid w:val="003609FB"/>
    <w:rsid w:val="00362F64"/>
    <w:rsid w:val="00367C6E"/>
    <w:rsid w:val="00371688"/>
    <w:rsid w:val="0037173F"/>
    <w:rsid w:val="0037428C"/>
    <w:rsid w:val="003779ED"/>
    <w:rsid w:val="00377C49"/>
    <w:rsid w:val="00380CD7"/>
    <w:rsid w:val="00386578"/>
    <w:rsid w:val="00386B31"/>
    <w:rsid w:val="00392929"/>
    <w:rsid w:val="00394072"/>
    <w:rsid w:val="00394F6F"/>
    <w:rsid w:val="0039755F"/>
    <w:rsid w:val="003A0CF2"/>
    <w:rsid w:val="003A4446"/>
    <w:rsid w:val="003A5199"/>
    <w:rsid w:val="003A6B7F"/>
    <w:rsid w:val="003B6C88"/>
    <w:rsid w:val="003C07F7"/>
    <w:rsid w:val="003C13E7"/>
    <w:rsid w:val="003C3679"/>
    <w:rsid w:val="003C3C31"/>
    <w:rsid w:val="003C48F0"/>
    <w:rsid w:val="003D4F96"/>
    <w:rsid w:val="003D7EE1"/>
    <w:rsid w:val="003E4C3C"/>
    <w:rsid w:val="003E56C8"/>
    <w:rsid w:val="003F0D07"/>
    <w:rsid w:val="003F2C54"/>
    <w:rsid w:val="003F6767"/>
    <w:rsid w:val="00400652"/>
    <w:rsid w:val="00404FB5"/>
    <w:rsid w:val="0040549F"/>
    <w:rsid w:val="00412946"/>
    <w:rsid w:val="00412F3F"/>
    <w:rsid w:val="0041755B"/>
    <w:rsid w:val="00417D2C"/>
    <w:rsid w:val="00417FA0"/>
    <w:rsid w:val="0042053E"/>
    <w:rsid w:val="00420D4A"/>
    <w:rsid w:val="00421C6D"/>
    <w:rsid w:val="00422E9F"/>
    <w:rsid w:val="004234A0"/>
    <w:rsid w:val="00427C1C"/>
    <w:rsid w:val="00433B22"/>
    <w:rsid w:val="004348AF"/>
    <w:rsid w:val="004365D0"/>
    <w:rsid w:val="00436BFB"/>
    <w:rsid w:val="00436CC7"/>
    <w:rsid w:val="004408A2"/>
    <w:rsid w:val="004418A0"/>
    <w:rsid w:val="0044215E"/>
    <w:rsid w:val="00442AFA"/>
    <w:rsid w:val="00444D7E"/>
    <w:rsid w:val="0044518B"/>
    <w:rsid w:val="00447DEA"/>
    <w:rsid w:val="004502B4"/>
    <w:rsid w:val="004511C2"/>
    <w:rsid w:val="00455DA2"/>
    <w:rsid w:val="00460157"/>
    <w:rsid w:val="004602EC"/>
    <w:rsid w:val="00460C34"/>
    <w:rsid w:val="0046139C"/>
    <w:rsid w:val="00463902"/>
    <w:rsid w:val="00464BB5"/>
    <w:rsid w:val="004707FB"/>
    <w:rsid w:val="00481B56"/>
    <w:rsid w:val="00481F35"/>
    <w:rsid w:val="0049469D"/>
    <w:rsid w:val="0049529A"/>
    <w:rsid w:val="00496D03"/>
    <w:rsid w:val="004A080A"/>
    <w:rsid w:val="004A083A"/>
    <w:rsid w:val="004A382C"/>
    <w:rsid w:val="004A452A"/>
    <w:rsid w:val="004A4FD9"/>
    <w:rsid w:val="004A689C"/>
    <w:rsid w:val="004A785A"/>
    <w:rsid w:val="004B4B87"/>
    <w:rsid w:val="004B6369"/>
    <w:rsid w:val="004B722B"/>
    <w:rsid w:val="004C3EE1"/>
    <w:rsid w:val="004C57B9"/>
    <w:rsid w:val="004E2C05"/>
    <w:rsid w:val="004E423B"/>
    <w:rsid w:val="004E437E"/>
    <w:rsid w:val="004E4DE2"/>
    <w:rsid w:val="004E7645"/>
    <w:rsid w:val="004F03C2"/>
    <w:rsid w:val="004F051B"/>
    <w:rsid w:val="004F5A53"/>
    <w:rsid w:val="004F763E"/>
    <w:rsid w:val="004F7C39"/>
    <w:rsid w:val="005000A6"/>
    <w:rsid w:val="00501254"/>
    <w:rsid w:val="005028A2"/>
    <w:rsid w:val="00507486"/>
    <w:rsid w:val="005145B9"/>
    <w:rsid w:val="00517DE9"/>
    <w:rsid w:val="00520186"/>
    <w:rsid w:val="00521E5B"/>
    <w:rsid w:val="005233C7"/>
    <w:rsid w:val="005260B6"/>
    <w:rsid w:val="00526B09"/>
    <w:rsid w:val="005279C3"/>
    <w:rsid w:val="005337BF"/>
    <w:rsid w:val="00536DBE"/>
    <w:rsid w:val="00537D80"/>
    <w:rsid w:val="00542712"/>
    <w:rsid w:val="00544621"/>
    <w:rsid w:val="00544CE5"/>
    <w:rsid w:val="005451F0"/>
    <w:rsid w:val="00547C18"/>
    <w:rsid w:val="00547E90"/>
    <w:rsid w:val="00552786"/>
    <w:rsid w:val="00552F3B"/>
    <w:rsid w:val="00553B7D"/>
    <w:rsid w:val="0055433D"/>
    <w:rsid w:val="0055519B"/>
    <w:rsid w:val="00555C8A"/>
    <w:rsid w:val="0056096E"/>
    <w:rsid w:val="0056767C"/>
    <w:rsid w:val="0057253A"/>
    <w:rsid w:val="00572575"/>
    <w:rsid w:val="005731FB"/>
    <w:rsid w:val="005746A0"/>
    <w:rsid w:val="005750C2"/>
    <w:rsid w:val="005755D3"/>
    <w:rsid w:val="005758C2"/>
    <w:rsid w:val="00577F80"/>
    <w:rsid w:val="005800DF"/>
    <w:rsid w:val="00583E16"/>
    <w:rsid w:val="005873EB"/>
    <w:rsid w:val="0059284E"/>
    <w:rsid w:val="005B1722"/>
    <w:rsid w:val="005B20CA"/>
    <w:rsid w:val="005B2298"/>
    <w:rsid w:val="005B5AF0"/>
    <w:rsid w:val="005B785D"/>
    <w:rsid w:val="005C12E1"/>
    <w:rsid w:val="005D2B0C"/>
    <w:rsid w:val="005E1F82"/>
    <w:rsid w:val="005E4C52"/>
    <w:rsid w:val="005E7AAF"/>
    <w:rsid w:val="005F1237"/>
    <w:rsid w:val="005F51DC"/>
    <w:rsid w:val="005F5D24"/>
    <w:rsid w:val="0060136A"/>
    <w:rsid w:val="006023AF"/>
    <w:rsid w:val="006057BA"/>
    <w:rsid w:val="00613EBD"/>
    <w:rsid w:val="00615A94"/>
    <w:rsid w:val="00620BB9"/>
    <w:rsid w:val="00621E23"/>
    <w:rsid w:val="00623453"/>
    <w:rsid w:val="00623D43"/>
    <w:rsid w:val="0062567A"/>
    <w:rsid w:val="00627A8B"/>
    <w:rsid w:val="00627C47"/>
    <w:rsid w:val="006314B5"/>
    <w:rsid w:val="00632BC7"/>
    <w:rsid w:val="00633B4A"/>
    <w:rsid w:val="00636F9D"/>
    <w:rsid w:val="006379C6"/>
    <w:rsid w:val="00640CB5"/>
    <w:rsid w:val="006470E4"/>
    <w:rsid w:val="00654D88"/>
    <w:rsid w:val="006575FD"/>
    <w:rsid w:val="00660C73"/>
    <w:rsid w:val="00661A31"/>
    <w:rsid w:val="00662C92"/>
    <w:rsid w:val="00664822"/>
    <w:rsid w:val="006655D3"/>
    <w:rsid w:val="0066606A"/>
    <w:rsid w:val="00667F69"/>
    <w:rsid w:val="0067438E"/>
    <w:rsid w:val="00674932"/>
    <w:rsid w:val="00676DC8"/>
    <w:rsid w:val="00681F84"/>
    <w:rsid w:val="00684FB7"/>
    <w:rsid w:val="00687AC1"/>
    <w:rsid w:val="00687B7F"/>
    <w:rsid w:val="0069410D"/>
    <w:rsid w:val="00695802"/>
    <w:rsid w:val="0069588E"/>
    <w:rsid w:val="006A0D32"/>
    <w:rsid w:val="006A1250"/>
    <w:rsid w:val="006B17D6"/>
    <w:rsid w:val="006B7537"/>
    <w:rsid w:val="006C0E9A"/>
    <w:rsid w:val="006C15A8"/>
    <w:rsid w:val="006C23B2"/>
    <w:rsid w:val="006C2566"/>
    <w:rsid w:val="006D28FD"/>
    <w:rsid w:val="006D2D89"/>
    <w:rsid w:val="006D3840"/>
    <w:rsid w:val="006E2D1F"/>
    <w:rsid w:val="006E494D"/>
    <w:rsid w:val="006E6913"/>
    <w:rsid w:val="006E69D8"/>
    <w:rsid w:val="006F2451"/>
    <w:rsid w:val="006F5BCA"/>
    <w:rsid w:val="007006F7"/>
    <w:rsid w:val="00701112"/>
    <w:rsid w:val="00703191"/>
    <w:rsid w:val="007060FF"/>
    <w:rsid w:val="007146FA"/>
    <w:rsid w:val="00720EB3"/>
    <w:rsid w:val="007235BC"/>
    <w:rsid w:val="007244FC"/>
    <w:rsid w:val="00727665"/>
    <w:rsid w:val="00730612"/>
    <w:rsid w:val="00731FD8"/>
    <w:rsid w:val="007326FE"/>
    <w:rsid w:val="00732780"/>
    <w:rsid w:val="00732D76"/>
    <w:rsid w:val="0073401B"/>
    <w:rsid w:val="007358A6"/>
    <w:rsid w:val="0073701C"/>
    <w:rsid w:val="00740403"/>
    <w:rsid w:val="00744858"/>
    <w:rsid w:val="00745EEB"/>
    <w:rsid w:val="00746365"/>
    <w:rsid w:val="0074669E"/>
    <w:rsid w:val="00750298"/>
    <w:rsid w:val="0075079A"/>
    <w:rsid w:val="00751F1A"/>
    <w:rsid w:val="00752156"/>
    <w:rsid w:val="00752427"/>
    <w:rsid w:val="00752A44"/>
    <w:rsid w:val="0075343C"/>
    <w:rsid w:val="00760BA4"/>
    <w:rsid w:val="00763D6C"/>
    <w:rsid w:val="0077226A"/>
    <w:rsid w:val="00772489"/>
    <w:rsid w:val="00777F54"/>
    <w:rsid w:val="00781785"/>
    <w:rsid w:val="00781F38"/>
    <w:rsid w:val="00783EFD"/>
    <w:rsid w:val="007848D6"/>
    <w:rsid w:val="0078794D"/>
    <w:rsid w:val="00790B38"/>
    <w:rsid w:val="007912C1"/>
    <w:rsid w:val="00792E99"/>
    <w:rsid w:val="00794A62"/>
    <w:rsid w:val="00795AF8"/>
    <w:rsid w:val="00795D27"/>
    <w:rsid w:val="00796E1D"/>
    <w:rsid w:val="00796E66"/>
    <w:rsid w:val="007A0925"/>
    <w:rsid w:val="007A2B00"/>
    <w:rsid w:val="007A30EF"/>
    <w:rsid w:val="007A3668"/>
    <w:rsid w:val="007A45EA"/>
    <w:rsid w:val="007A5FF3"/>
    <w:rsid w:val="007A7536"/>
    <w:rsid w:val="007A7D86"/>
    <w:rsid w:val="007B1096"/>
    <w:rsid w:val="007B2823"/>
    <w:rsid w:val="007B2F5F"/>
    <w:rsid w:val="007B5CE1"/>
    <w:rsid w:val="007B751A"/>
    <w:rsid w:val="007C0D46"/>
    <w:rsid w:val="007C5F50"/>
    <w:rsid w:val="007C6F12"/>
    <w:rsid w:val="007C79E0"/>
    <w:rsid w:val="007C7AEB"/>
    <w:rsid w:val="007D13C5"/>
    <w:rsid w:val="007D7B6D"/>
    <w:rsid w:val="007E17D7"/>
    <w:rsid w:val="007E1F6F"/>
    <w:rsid w:val="007E34F5"/>
    <w:rsid w:val="007E3A0A"/>
    <w:rsid w:val="007E52F7"/>
    <w:rsid w:val="007F0F3B"/>
    <w:rsid w:val="007F2BFD"/>
    <w:rsid w:val="007F3F0E"/>
    <w:rsid w:val="00800CB0"/>
    <w:rsid w:val="00801795"/>
    <w:rsid w:val="00803D57"/>
    <w:rsid w:val="00804BA1"/>
    <w:rsid w:val="008054AB"/>
    <w:rsid w:val="008057C5"/>
    <w:rsid w:val="00820A99"/>
    <w:rsid w:val="00822390"/>
    <w:rsid w:val="008263C1"/>
    <w:rsid w:val="0083492C"/>
    <w:rsid w:val="00834F24"/>
    <w:rsid w:val="008365F0"/>
    <w:rsid w:val="00837DB7"/>
    <w:rsid w:val="00842682"/>
    <w:rsid w:val="0084337A"/>
    <w:rsid w:val="008438D3"/>
    <w:rsid w:val="00844F02"/>
    <w:rsid w:val="008473F8"/>
    <w:rsid w:val="00847831"/>
    <w:rsid w:val="00850233"/>
    <w:rsid w:val="0085120A"/>
    <w:rsid w:val="00855428"/>
    <w:rsid w:val="008665FB"/>
    <w:rsid w:val="00866704"/>
    <w:rsid w:val="008673D1"/>
    <w:rsid w:val="00870D84"/>
    <w:rsid w:val="008727AE"/>
    <w:rsid w:val="00877871"/>
    <w:rsid w:val="0088741C"/>
    <w:rsid w:val="008960BD"/>
    <w:rsid w:val="00897454"/>
    <w:rsid w:val="008A1F46"/>
    <w:rsid w:val="008A445F"/>
    <w:rsid w:val="008A52B3"/>
    <w:rsid w:val="008A6531"/>
    <w:rsid w:val="008A78CE"/>
    <w:rsid w:val="008B14CE"/>
    <w:rsid w:val="008B24BD"/>
    <w:rsid w:val="008B3F47"/>
    <w:rsid w:val="008B7AF9"/>
    <w:rsid w:val="008C72E4"/>
    <w:rsid w:val="008C7C9E"/>
    <w:rsid w:val="008D0286"/>
    <w:rsid w:val="008D3F78"/>
    <w:rsid w:val="008D4E61"/>
    <w:rsid w:val="008D5CB3"/>
    <w:rsid w:val="008D64AE"/>
    <w:rsid w:val="008D7C35"/>
    <w:rsid w:val="008F35AF"/>
    <w:rsid w:val="008F59E9"/>
    <w:rsid w:val="008F62E9"/>
    <w:rsid w:val="008F774F"/>
    <w:rsid w:val="009038C2"/>
    <w:rsid w:val="00911553"/>
    <w:rsid w:val="009137C6"/>
    <w:rsid w:val="00917162"/>
    <w:rsid w:val="00920314"/>
    <w:rsid w:val="00924418"/>
    <w:rsid w:val="009275C9"/>
    <w:rsid w:val="00936612"/>
    <w:rsid w:val="00937366"/>
    <w:rsid w:val="00937DB2"/>
    <w:rsid w:val="009432B5"/>
    <w:rsid w:val="0094410C"/>
    <w:rsid w:val="00947ACB"/>
    <w:rsid w:val="00952CF8"/>
    <w:rsid w:val="0095334B"/>
    <w:rsid w:val="009541CD"/>
    <w:rsid w:val="0095676C"/>
    <w:rsid w:val="00962EBD"/>
    <w:rsid w:val="00962F55"/>
    <w:rsid w:val="00964C7C"/>
    <w:rsid w:val="00967FCF"/>
    <w:rsid w:val="009706D3"/>
    <w:rsid w:val="00970D81"/>
    <w:rsid w:val="00973CF2"/>
    <w:rsid w:val="00974C0B"/>
    <w:rsid w:val="00977834"/>
    <w:rsid w:val="00977C38"/>
    <w:rsid w:val="0098362A"/>
    <w:rsid w:val="009836CF"/>
    <w:rsid w:val="0098460A"/>
    <w:rsid w:val="00987D20"/>
    <w:rsid w:val="00991AEC"/>
    <w:rsid w:val="00994FB1"/>
    <w:rsid w:val="00997084"/>
    <w:rsid w:val="009A3152"/>
    <w:rsid w:val="009A3878"/>
    <w:rsid w:val="009A4969"/>
    <w:rsid w:val="009B341F"/>
    <w:rsid w:val="009B3CCA"/>
    <w:rsid w:val="009B6FEB"/>
    <w:rsid w:val="009C0FA3"/>
    <w:rsid w:val="009C19D5"/>
    <w:rsid w:val="009C3B32"/>
    <w:rsid w:val="009C6217"/>
    <w:rsid w:val="009C7399"/>
    <w:rsid w:val="009C7B75"/>
    <w:rsid w:val="009D226B"/>
    <w:rsid w:val="009D29C6"/>
    <w:rsid w:val="009D2D1A"/>
    <w:rsid w:val="009D38FA"/>
    <w:rsid w:val="009D4407"/>
    <w:rsid w:val="009E33F0"/>
    <w:rsid w:val="009E7935"/>
    <w:rsid w:val="009F02FC"/>
    <w:rsid w:val="009F04D0"/>
    <w:rsid w:val="009F0733"/>
    <w:rsid w:val="009F5074"/>
    <w:rsid w:val="009F5102"/>
    <w:rsid w:val="009F66E5"/>
    <w:rsid w:val="009F6921"/>
    <w:rsid w:val="009F7322"/>
    <w:rsid w:val="00A04E19"/>
    <w:rsid w:val="00A0774B"/>
    <w:rsid w:val="00A14466"/>
    <w:rsid w:val="00A148B8"/>
    <w:rsid w:val="00A16F1F"/>
    <w:rsid w:val="00A23451"/>
    <w:rsid w:val="00A243AA"/>
    <w:rsid w:val="00A26734"/>
    <w:rsid w:val="00A327DF"/>
    <w:rsid w:val="00A32FC0"/>
    <w:rsid w:val="00A335A3"/>
    <w:rsid w:val="00A338C2"/>
    <w:rsid w:val="00A3533A"/>
    <w:rsid w:val="00A35600"/>
    <w:rsid w:val="00A3741C"/>
    <w:rsid w:val="00A433FE"/>
    <w:rsid w:val="00A44BE5"/>
    <w:rsid w:val="00A468F4"/>
    <w:rsid w:val="00A4704A"/>
    <w:rsid w:val="00A509F2"/>
    <w:rsid w:val="00A53E38"/>
    <w:rsid w:val="00A563A5"/>
    <w:rsid w:val="00A60975"/>
    <w:rsid w:val="00A643F6"/>
    <w:rsid w:val="00A66147"/>
    <w:rsid w:val="00A66988"/>
    <w:rsid w:val="00A74CAB"/>
    <w:rsid w:val="00A809EC"/>
    <w:rsid w:val="00A82E53"/>
    <w:rsid w:val="00A83C0B"/>
    <w:rsid w:val="00A872ED"/>
    <w:rsid w:val="00A90FA3"/>
    <w:rsid w:val="00A91304"/>
    <w:rsid w:val="00A92081"/>
    <w:rsid w:val="00A95ED6"/>
    <w:rsid w:val="00A964BF"/>
    <w:rsid w:val="00A96D44"/>
    <w:rsid w:val="00AA528C"/>
    <w:rsid w:val="00AA5858"/>
    <w:rsid w:val="00AB1706"/>
    <w:rsid w:val="00AB2B7D"/>
    <w:rsid w:val="00AB5117"/>
    <w:rsid w:val="00AC219F"/>
    <w:rsid w:val="00AC46D7"/>
    <w:rsid w:val="00AC46ED"/>
    <w:rsid w:val="00AC58BE"/>
    <w:rsid w:val="00AC6B75"/>
    <w:rsid w:val="00AC7A57"/>
    <w:rsid w:val="00AD331E"/>
    <w:rsid w:val="00AD7BB3"/>
    <w:rsid w:val="00AE19F1"/>
    <w:rsid w:val="00AE1A6E"/>
    <w:rsid w:val="00AE2224"/>
    <w:rsid w:val="00AF126B"/>
    <w:rsid w:val="00AF1C32"/>
    <w:rsid w:val="00AF2695"/>
    <w:rsid w:val="00AF4E9F"/>
    <w:rsid w:val="00AF5AB9"/>
    <w:rsid w:val="00AF7F7B"/>
    <w:rsid w:val="00B00427"/>
    <w:rsid w:val="00B01026"/>
    <w:rsid w:val="00B0592C"/>
    <w:rsid w:val="00B062C7"/>
    <w:rsid w:val="00B11209"/>
    <w:rsid w:val="00B1160B"/>
    <w:rsid w:val="00B12169"/>
    <w:rsid w:val="00B134C0"/>
    <w:rsid w:val="00B153F8"/>
    <w:rsid w:val="00B16D40"/>
    <w:rsid w:val="00B172D4"/>
    <w:rsid w:val="00B17E2E"/>
    <w:rsid w:val="00B23BC2"/>
    <w:rsid w:val="00B24B43"/>
    <w:rsid w:val="00B24BDD"/>
    <w:rsid w:val="00B266B0"/>
    <w:rsid w:val="00B30A48"/>
    <w:rsid w:val="00B30A68"/>
    <w:rsid w:val="00B31998"/>
    <w:rsid w:val="00B31EAE"/>
    <w:rsid w:val="00B34982"/>
    <w:rsid w:val="00B36F98"/>
    <w:rsid w:val="00B36FF2"/>
    <w:rsid w:val="00B4097F"/>
    <w:rsid w:val="00B41908"/>
    <w:rsid w:val="00B42BB8"/>
    <w:rsid w:val="00B43D36"/>
    <w:rsid w:val="00B459EE"/>
    <w:rsid w:val="00B46F55"/>
    <w:rsid w:val="00B47097"/>
    <w:rsid w:val="00B470F6"/>
    <w:rsid w:val="00B4792E"/>
    <w:rsid w:val="00B503B6"/>
    <w:rsid w:val="00B5316C"/>
    <w:rsid w:val="00B531F3"/>
    <w:rsid w:val="00B53414"/>
    <w:rsid w:val="00B557B0"/>
    <w:rsid w:val="00B573CF"/>
    <w:rsid w:val="00B62709"/>
    <w:rsid w:val="00B62FE1"/>
    <w:rsid w:val="00B65D8F"/>
    <w:rsid w:val="00B6707F"/>
    <w:rsid w:val="00B738EC"/>
    <w:rsid w:val="00B75556"/>
    <w:rsid w:val="00B77361"/>
    <w:rsid w:val="00B81B21"/>
    <w:rsid w:val="00B8453C"/>
    <w:rsid w:val="00B91312"/>
    <w:rsid w:val="00B91C06"/>
    <w:rsid w:val="00B93ED0"/>
    <w:rsid w:val="00B9723F"/>
    <w:rsid w:val="00BA0697"/>
    <w:rsid w:val="00BA5263"/>
    <w:rsid w:val="00BA5CA8"/>
    <w:rsid w:val="00BA6B0B"/>
    <w:rsid w:val="00BB02C6"/>
    <w:rsid w:val="00BB05D2"/>
    <w:rsid w:val="00BB2642"/>
    <w:rsid w:val="00BC3F7F"/>
    <w:rsid w:val="00BC4928"/>
    <w:rsid w:val="00BD6C96"/>
    <w:rsid w:val="00BE19D3"/>
    <w:rsid w:val="00BF3B9D"/>
    <w:rsid w:val="00BF3F16"/>
    <w:rsid w:val="00C01FAD"/>
    <w:rsid w:val="00C03DCE"/>
    <w:rsid w:val="00C07175"/>
    <w:rsid w:val="00C10C47"/>
    <w:rsid w:val="00C13640"/>
    <w:rsid w:val="00C13DF4"/>
    <w:rsid w:val="00C1534A"/>
    <w:rsid w:val="00C15DBB"/>
    <w:rsid w:val="00C16F43"/>
    <w:rsid w:val="00C203AD"/>
    <w:rsid w:val="00C24953"/>
    <w:rsid w:val="00C26921"/>
    <w:rsid w:val="00C273EF"/>
    <w:rsid w:val="00C30706"/>
    <w:rsid w:val="00C31F0D"/>
    <w:rsid w:val="00C330BD"/>
    <w:rsid w:val="00C332A5"/>
    <w:rsid w:val="00C33D99"/>
    <w:rsid w:val="00C4327A"/>
    <w:rsid w:val="00C45D2E"/>
    <w:rsid w:val="00C4796E"/>
    <w:rsid w:val="00C56D1B"/>
    <w:rsid w:val="00C608BB"/>
    <w:rsid w:val="00C60922"/>
    <w:rsid w:val="00C6343C"/>
    <w:rsid w:val="00C72BDD"/>
    <w:rsid w:val="00C80508"/>
    <w:rsid w:val="00C817B8"/>
    <w:rsid w:val="00C84079"/>
    <w:rsid w:val="00C847E1"/>
    <w:rsid w:val="00C9075A"/>
    <w:rsid w:val="00C907D9"/>
    <w:rsid w:val="00C940D5"/>
    <w:rsid w:val="00CB0E4C"/>
    <w:rsid w:val="00CB2E11"/>
    <w:rsid w:val="00CB2ED8"/>
    <w:rsid w:val="00CB56B2"/>
    <w:rsid w:val="00CB6B52"/>
    <w:rsid w:val="00CC0AE5"/>
    <w:rsid w:val="00CC1E5A"/>
    <w:rsid w:val="00CD0198"/>
    <w:rsid w:val="00CD0524"/>
    <w:rsid w:val="00CE01A9"/>
    <w:rsid w:val="00CE301A"/>
    <w:rsid w:val="00CE5A41"/>
    <w:rsid w:val="00CE7BC9"/>
    <w:rsid w:val="00CF2A05"/>
    <w:rsid w:val="00CF589B"/>
    <w:rsid w:val="00D00F6B"/>
    <w:rsid w:val="00D05D12"/>
    <w:rsid w:val="00D07A04"/>
    <w:rsid w:val="00D11ED3"/>
    <w:rsid w:val="00D12CBA"/>
    <w:rsid w:val="00D148C7"/>
    <w:rsid w:val="00D161B1"/>
    <w:rsid w:val="00D16D50"/>
    <w:rsid w:val="00D2185C"/>
    <w:rsid w:val="00D22819"/>
    <w:rsid w:val="00D24C5E"/>
    <w:rsid w:val="00D253E6"/>
    <w:rsid w:val="00D33894"/>
    <w:rsid w:val="00D36901"/>
    <w:rsid w:val="00D41C73"/>
    <w:rsid w:val="00D41FF5"/>
    <w:rsid w:val="00D46708"/>
    <w:rsid w:val="00D4766C"/>
    <w:rsid w:val="00D476F1"/>
    <w:rsid w:val="00D50B9A"/>
    <w:rsid w:val="00D50D6B"/>
    <w:rsid w:val="00D51363"/>
    <w:rsid w:val="00D51DE4"/>
    <w:rsid w:val="00D5480A"/>
    <w:rsid w:val="00D5617B"/>
    <w:rsid w:val="00D62872"/>
    <w:rsid w:val="00D652EB"/>
    <w:rsid w:val="00D65877"/>
    <w:rsid w:val="00D65C7C"/>
    <w:rsid w:val="00D67365"/>
    <w:rsid w:val="00D67E37"/>
    <w:rsid w:val="00D70885"/>
    <w:rsid w:val="00D70DCD"/>
    <w:rsid w:val="00D760A1"/>
    <w:rsid w:val="00D764F0"/>
    <w:rsid w:val="00D80D41"/>
    <w:rsid w:val="00D83F68"/>
    <w:rsid w:val="00D847BA"/>
    <w:rsid w:val="00D90398"/>
    <w:rsid w:val="00D912A0"/>
    <w:rsid w:val="00D940CB"/>
    <w:rsid w:val="00D94BC4"/>
    <w:rsid w:val="00DB3BAD"/>
    <w:rsid w:val="00DB5174"/>
    <w:rsid w:val="00DC1009"/>
    <w:rsid w:val="00DC415D"/>
    <w:rsid w:val="00DC43FE"/>
    <w:rsid w:val="00DC53C0"/>
    <w:rsid w:val="00DC6BD0"/>
    <w:rsid w:val="00DD409A"/>
    <w:rsid w:val="00DD5F95"/>
    <w:rsid w:val="00DE319D"/>
    <w:rsid w:val="00DE4974"/>
    <w:rsid w:val="00DE522C"/>
    <w:rsid w:val="00DE5AB7"/>
    <w:rsid w:val="00DE6FFC"/>
    <w:rsid w:val="00DF1EC7"/>
    <w:rsid w:val="00DF59B4"/>
    <w:rsid w:val="00DF6DC7"/>
    <w:rsid w:val="00E01823"/>
    <w:rsid w:val="00E044A5"/>
    <w:rsid w:val="00E05FD2"/>
    <w:rsid w:val="00E06A21"/>
    <w:rsid w:val="00E14D9D"/>
    <w:rsid w:val="00E216C1"/>
    <w:rsid w:val="00E22072"/>
    <w:rsid w:val="00E23B58"/>
    <w:rsid w:val="00E23C00"/>
    <w:rsid w:val="00E24874"/>
    <w:rsid w:val="00E25EAE"/>
    <w:rsid w:val="00E273B8"/>
    <w:rsid w:val="00E34E17"/>
    <w:rsid w:val="00E3541A"/>
    <w:rsid w:val="00E35F52"/>
    <w:rsid w:val="00E3649C"/>
    <w:rsid w:val="00E4204E"/>
    <w:rsid w:val="00E42E7B"/>
    <w:rsid w:val="00E42FCE"/>
    <w:rsid w:val="00E455E4"/>
    <w:rsid w:val="00E46DD1"/>
    <w:rsid w:val="00E47AE4"/>
    <w:rsid w:val="00E51152"/>
    <w:rsid w:val="00E55913"/>
    <w:rsid w:val="00E578E1"/>
    <w:rsid w:val="00E60549"/>
    <w:rsid w:val="00E65EFC"/>
    <w:rsid w:val="00E71986"/>
    <w:rsid w:val="00E72483"/>
    <w:rsid w:val="00E72EB2"/>
    <w:rsid w:val="00E736BD"/>
    <w:rsid w:val="00E748EA"/>
    <w:rsid w:val="00E75A18"/>
    <w:rsid w:val="00E81C16"/>
    <w:rsid w:val="00E82CB2"/>
    <w:rsid w:val="00E8636B"/>
    <w:rsid w:val="00E93775"/>
    <w:rsid w:val="00E94832"/>
    <w:rsid w:val="00E95143"/>
    <w:rsid w:val="00E9621B"/>
    <w:rsid w:val="00E9799A"/>
    <w:rsid w:val="00E97D9D"/>
    <w:rsid w:val="00EA3238"/>
    <w:rsid w:val="00EA4DE6"/>
    <w:rsid w:val="00EA65EF"/>
    <w:rsid w:val="00EB137C"/>
    <w:rsid w:val="00EB2351"/>
    <w:rsid w:val="00EB693E"/>
    <w:rsid w:val="00EC3A01"/>
    <w:rsid w:val="00EC4E95"/>
    <w:rsid w:val="00EC62D5"/>
    <w:rsid w:val="00EC7F76"/>
    <w:rsid w:val="00ED1373"/>
    <w:rsid w:val="00ED4028"/>
    <w:rsid w:val="00EE072F"/>
    <w:rsid w:val="00EE242D"/>
    <w:rsid w:val="00EE347A"/>
    <w:rsid w:val="00EE4708"/>
    <w:rsid w:val="00EE79D6"/>
    <w:rsid w:val="00EF05AF"/>
    <w:rsid w:val="00EF24DC"/>
    <w:rsid w:val="00EF57C9"/>
    <w:rsid w:val="00EF5D91"/>
    <w:rsid w:val="00EF71FE"/>
    <w:rsid w:val="00F0070A"/>
    <w:rsid w:val="00F03ABD"/>
    <w:rsid w:val="00F0640C"/>
    <w:rsid w:val="00F06C29"/>
    <w:rsid w:val="00F07881"/>
    <w:rsid w:val="00F15310"/>
    <w:rsid w:val="00F16100"/>
    <w:rsid w:val="00F209B5"/>
    <w:rsid w:val="00F20BFE"/>
    <w:rsid w:val="00F214E7"/>
    <w:rsid w:val="00F23A31"/>
    <w:rsid w:val="00F264F3"/>
    <w:rsid w:val="00F2779C"/>
    <w:rsid w:val="00F27E4F"/>
    <w:rsid w:val="00F303C0"/>
    <w:rsid w:val="00F34032"/>
    <w:rsid w:val="00F3635E"/>
    <w:rsid w:val="00F37F48"/>
    <w:rsid w:val="00F40C3E"/>
    <w:rsid w:val="00F42B00"/>
    <w:rsid w:val="00F436FA"/>
    <w:rsid w:val="00F5074E"/>
    <w:rsid w:val="00F5116D"/>
    <w:rsid w:val="00F520A4"/>
    <w:rsid w:val="00F55C3F"/>
    <w:rsid w:val="00F55D7B"/>
    <w:rsid w:val="00F56694"/>
    <w:rsid w:val="00F573F1"/>
    <w:rsid w:val="00F60BA8"/>
    <w:rsid w:val="00F61E7F"/>
    <w:rsid w:val="00F66091"/>
    <w:rsid w:val="00F66E45"/>
    <w:rsid w:val="00F7067D"/>
    <w:rsid w:val="00F715B5"/>
    <w:rsid w:val="00F816DA"/>
    <w:rsid w:val="00F82A59"/>
    <w:rsid w:val="00F8425E"/>
    <w:rsid w:val="00F875BA"/>
    <w:rsid w:val="00F94D93"/>
    <w:rsid w:val="00F94DDC"/>
    <w:rsid w:val="00FA431E"/>
    <w:rsid w:val="00FA4C87"/>
    <w:rsid w:val="00FA63CF"/>
    <w:rsid w:val="00FA7344"/>
    <w:rsid w:val="00FB01CC"/>
    <w:rsid w:val="00FB125A"/>
    <w:rsid w:val="00FB1BD4"/>
    <w:rsid w:val="00FB285C"/>
    <w:rsid w:val="00FB309B"/>
    <w:rsid w:val="00FB4B4E"/>
    <w:rsid w:val="00FC00B5"/>
    <w:rsid w:val="00FC4787"/>
    <w:rsid w:val="00FC5AA1"/>
    <w:rsid w:val="00FC65DE"/>
    <w:rsid w:val="00FC73F9"/>
    <w:rsid w:val="00FD5E00"/>
    <w:rsid w:val="00FE014E"/>
    <w:rsid w:val="00FE0B75"/>
    <w:rsid w:val="00FE54E3"/>
    <w:rsid w:val="00FF0669"/>
    <w:rsid w:val="00FF2D57"/>
    <w:rsid w:val="00FF4090"/>
    <w:rsid w:val="00FF46E6"/>
    <w:rsid w:val="00FF487F"/>
    <w:rsid w:val="00FF655D"/>
    <w:rsid w:val="00FF72EB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E24A"/>
  <w15:docId w15:val="{D6493C30-1C1A-4D74-88BD-B7BA782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4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3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val="sr-Cyrl-C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5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8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9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7"/>
      </w:numPr>
    </w:pPr>
  </w:style>
  <w:style w:type="numbering" w:styleId="111111">
    <w:name w:val="Outline List 2"/>
    <w:basedOn w:val="NoList"/>
    <w:rsid w:val="00E46DD1"/>
    <w:pPr>
      <w:numPr>
        <w:numId w:val="6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10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  <w:style w:type="character" w:customStyle="1" w:styleId="stepen">
    <w:name w:val="stepen"/>
    <w:basedOn w:val="DefaultParagraphFont"/>
    <w:rsid w:val="001E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bank.org/en/about/policies-and-guidelines/projects-and-loans-policies-and-guid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14F4-42F3-4BCB-B284-3015402E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djordje.belenzada</dc:creator>
  <cp:keywords/>
  <dc:description/>
  <cp:lastModifiedBy>Tatjana Vojvodic</cp:lastModifiedBy>
  <cp:revision>6</cp:revision>
  <cp:lastPrinted>2019-07-16T10:27:00Z</cp:lastPrinted>
  <dcterms:created xsi:type="dcterms:W3CDTF">2021-03-08T09:45:00Z</dcterms:created>
  <dcterms:modified xsi:type="dcterms:W3CDTF">2021-03-19T06:43:00Z</dcterms:modified>
</cp:coreProperties>
</file>