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FFA3D" w14:textId="77777777" w:rsidR="00A92081" w:rsidRPr="00746344" w:rsidRDefault="00A92081" w:rsidP="00E42E7B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01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3595"/>
        <w:gridCol w:w="5832"/>
      </w:tblGrid>
      <w:tr w:rsidR="00746344" w:rsidRPr="00F45FB0" w14:paraId="50F31B5D" w14:textId="77777777" w:rsidTr="00746344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FEAE6" w14:textId="77777777" w:rsidR="00421C6D" w:rsidRPr="00746344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35366" w14:textId="65341808" w:rsidR="00421C6D" w:rsidRPr="004127E7" w:rsidRDefault="00F5074E" w:rsidP="004F2BF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</w:t>
            </w:r>
            <w:r w:rsidR="001B4C3F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4F2BFF" w:rsidRPr="004127E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95A99" w:rsidRPr="004127E7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B2C4B" w:rsidRPr="00412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7889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paketa</w:t>
            </w:r>
            <w:r w:rsidR="0074669E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736B96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građevinskog materijala</w:t>
            </w:r>
          </w:p>
        </w:tc>
      </w:tr>
      <w:tr w:rsidR="00746344" w:rsidRPr="00F45FB0" w14:paraId="20490728" w14:textId="77777777" w:rsidTr="00746344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D982D" w14:textId="77777777" w:rsidR="002D6E25" w:rsidRPr="00F45FB0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3C493" w14:textId="36DCBF84" w:rsidR="002D6E25" w:rsidRPr="004127E7" w:rsidRDefault="00936C9E" w:rsidP="00B216E8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5074E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5074E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5074E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9B7889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6958AB" w:rsidRPr="004127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MEĐUNARODNOG OTVORENOG </w:t>
            </w:r>
            <w:r w:rsidR="009B7889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POSTUPKA</w:t>
            </w:r>
            <w:r w:rsidR="003779ED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5074E"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Pr="004127E7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746344" w:rsidRPr="00F45FB0" w14:paraId="0E422FB2" w14:textId="77777777" w:rsidTr="00746344">
        <w:trPr>
          <w:trHeight w:val="232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45583" w14:textId="77777777" w:rsidR="002D6E25" w:rsidRPr="00F45FB0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13D1C" w14:textId="451FBE98" w:rsidR="002D6E25" w:rsidRPr="001D39CE" w:rsidRDefault="001D39CE" w:rsidP="001D39CE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D39C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Objavljeno dana 16.03.2022. godine</w:t>
            </w:r>
          </w:p>
        </w:tc>
      </w:tr>
      <w:tr w:rsidR="00746344" w:rsidRPr="00F45FB0" w14:paraId="7AFA1005" w14:textId="77777777" w:rsidTr="00746344">
        <w:trPr>
          <w:trHeight w:val="43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C6EF2" w14:textId="77777777" w:rsidR="002D6E25" w:rsidRPr="00F45FB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904FD" w14:textId="77777777" w:rsidR="002D6E25" w:rsidRPr="004127E7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27E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4127E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127E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4127E7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15E43" w14:textId="6994499E" w:rsidR="002D6E25" w:rsidRPr="004C0B1F" w:rsidRDefault="004C0B1F" w:rsidP="009C6217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cyan"/>
              </w:rPr>
            </w:pPr>
            <w:r w:rsidRPr="00063EC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RHP-W9-CM-S/IOP3-2021</w:t>
            </w:r>
          </w:p>
        </w:tc>
      </w:tr>
      <w:tr w:rsidR="00746344" w:rsidRPr="00F45FB0" w14:paraId="222DCE51" w14:textId="77777777" w:rsidTr="00746344">
        <w:trPr>
          <w:trHeight w:val="28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58E4B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0C477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4630DF75" w14:textId="77777777" w:rsidTr="00746344">
        <w:trPr>
          <w:trHeight w:val="2882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0BF09" w14:textId="77777777" w:rsidR="002D6E25" w:rsidRPr="00F45FB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D8C4A" w14:textId="77777777" w:rsidR="002D6E25" w:rsidRPr="00F45FB0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28475" w14:textId="77777777" w:rsidR="004F2BFF" w:rsidRPr="00F45FB0" w:rsidRDefault="004F2BFF" w:rsidP="004F2BFF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Program: Zajednički regionalni program o trajnim rešenjima za izbeglice i raseljena lica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Regional Housing Programme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RHP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 stambenog zbrinjavanja u Republici Srbiji)</w:t>
            </w:r>
          </w:p>
          <w:p w14:paraId="6D5DE541" w14:textId="316039B9" w:rsidR="002D6E25" w:rsidRPr="00F45FB0" w:rsidRDefault="004F2BFF" w:rsidP="004F2BFF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Finansiranje: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Okvirni sporazum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Regionalnom programu stambenog zbrinjavanja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zaključen između Banke za razvoj saveta Evrope i Republike Srbije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25. oktobra 2013. godine, Ugovor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o donaciji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zaključen između Banke za razvoj saveta Evrope i Republike Srbije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u vezi sa realizacijom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devetog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potprojekta Regionalnog programa stambenog zbrinjavanja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07.03.2019.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godine, Aneksa I Ugovora o donaciji od 21.07.2019. godine i Aneksa II Ugovora o donaciji 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u vezi sa realizacijom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proširenja devetog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potprojekta Regionalnog programa stambenog zbrinjavanja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07.10.2020. godine. </w:t>
            </w:r>
          </w:p>
        </w:tc>
      </w:tr>
      <w:tr w:rsidR="00746344" w:rsidRPr="00F45FB0" w14:paraId="4A68C7E5" w14:textId="77777777" w:rsidTr="00746344">
        <w:trPr>
          <w:trHeight w:val="232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95442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25021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71C24A9F" w14:textId="77777777" w:rsidTr="00746344">
        <w:trPr>
          <w:trHeight w:val="424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98817" w14:textId="77777777" w:rsidR="002D6E25" w:rsidRPr="00F45FB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6A369" w14:textId="77777777" w:rsidR="002D6E25" w:rsidRPr="00F45FB0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7D0CE" w14:textId="0951DF30" w:rsidR="002D6E25" w:rsidRPr="00F45FB0" w:rsidRDefault="00A65668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''</w:t>
            </w:r>
            <w:r w:rsidR="0060657F" w:rsidRPr="00F45FB0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Jedinica za upravljanje projektima u javnom sektoru</w:t>
            </w:r>
            <w:r w:rsidRPr="00F45FB0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''</w:t>
            </w:r>
            <w:r w:rsidR="0060657F" w:rsidRPr="00F45FB0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 xml:space="preserve"> d.o.o. Beograd</w:t>
            </w:r>
          </w:p>
        </w:tc>
      </w:tr>
      <w:tr w:rsidR="00746344" w:rsidRPr="00F45FB0" w14:paraId="3016F441" w14:textId="77777777" w:rsidTr="00746344">
        <w:trPr>
          <w:trHeight w:val="232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A328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116DC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6344" w:rsidRPr="00F45FB0" w14:paraId="4E651699" w14:textId="77777777" w:rsidTr="00746344">
        <w:trPr>
          <w:trHeight w:val="363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A51E87" w14:textId="77777777" w:rsidR="002D6E25" w:rsidRPr="00F45FB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114BC" w14:textId="77777777" w:rsidR="002D6E25" w:rsidRPr="00F45FB0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53528" w14:textId="1DDBC051" w:rsidR="002D6E25" w:rsidRPr="00F45FB0" w:rsidRDefault="00F5074E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Nemanjina</w:t>
            </w:r>
            <w:r w:rsidR="0004004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22-26</w:t>
            </w:r>
            <w:r w:rsidR="00BA0697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A9208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Beograd</w:t>
            </w:r>
            <w:r w:rsidR="00A9208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,</w:t>
            </w:r>
            <w:r w:rsidR="00BA0697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746344" w:rsidRPr="00F45FB0" w14:paraId="3D3E5AF4" w14:textId="77777777" w:rsidTr="00746344">
        <w:trPr>
          <w:trHeight w:val="188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0C7F9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4D82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084B950C" w14:textId="77777777" w:rsidTr="00746344">
        <w:trPr>
          <w:trHeight w:val="507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41D9B" w14:textId="77777777" w:rsidR="002D6E25" w:rsidRPr="00F45FB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08A6B" w14:textId="77777777" w:rsidR="002D6E25" w:rsidRPr="00F45FB0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ECD0" w14:textId="77777777" w:rsidR="002D6E25" w:rsidRPr="00F45FB0" w:rsidRDefault="0025244F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92081" w:rsidRPr="00F45F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746344" w:rsidRPr="00F45FB0" w14:paraId="4A2C0293" w14:textId="77777777" w:rsidTr="00746344">
        <w:trPr>
          <w:trHeight w:val="13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1AAA6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C927A" w14:textId="77777777" w:rsidR="002D6E25" w:rsidRPr="00F45FB0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0715F162" w14:textId="77777777" w:rsidTr="00746344">
        <w:trPr>
          <w:trHeight w:val="614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9A58" w14:textId="77777777" w:rsidR="002D6E25" w:rsidRPr="00F45FB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CECBF" w14:textId="77777777" w:rsidR="002D6E25" w:rsidRPr="00F45FB0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33FDD" w14:textId="77777777" w:rsidR="000E259C" w:rsidRPr="00F45FB0" w:rsidRDefault="00736B96" w:rsidP="00F42B00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Međunarodni otvoreni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</w:t>
            </w:r>
          </w:p>
        </w:tc>
      </w:tr>
      <w:tr w:rsidR="00746344" w:rsidRPr="00F45FB0" w14:paraId="7BB48F98" w14:textId="77777777" w:rsidTr="00746344">
        <w:trPr>
          <w:trHeight w:val="21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9E5E2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51287" w14:textId="77777777" w:rsidR="002D6E25" w:rsidRPr="00F45FB0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6344" w:rsidRPr="00F45FB0" w14:paraId="5C5827B6" w14:textId="77777777" w:rsidTr="00746344">
        <w:trPr>
          <w:trHeight w:val="614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B028" w14:textId="77777777" w:rsidR="002D6E25" w:rsidRPr="00F45FB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3C4C6" w14:textId="77777777" w:rsidR="002D6E25" w:rsidRPr="00F45FB0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0BC64" w14:textId="77777777" w:rsidR="002D6E25" w:rsidRPr="00F45FB0" w:rsidRDefault="00F5074E" w:rsidP="00736B96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736B96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nabavci dobara</w:t>
            </w:r>
          </w:p>
        </w:tc>
      </w:tr>
      <w:tr w:rsidR="00E1445E" w:rsidRPr="00F45FB0" w14:paraId="14EEA4C7" w14:textId="77777777" w:rsidTr="00746344">
        <w:trPr>
          <w:trHeight w:val="13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B4D6B" w14:textId="77777777" w:rsidR="00E1445E" w:rsidRPr="00F45FB0" w:rsidRDefault="00E1445E" w:rsidP="00BA15B4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5EF6B" w14:textId="77777777" w:rsidR="00E1445E" w:rsidRPr="00F45FB0" w:rsidRDefault="00E1445E" w:rsidP="00BA15B4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7F19F681" w14:textId="77777777" w:rsidTr="00746344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853B9" w14:textId="77777777" w:rsidR="002D6E25" w:rsidRPr="00F45FB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E3C3E" w14:textId="274CE250" w:rsidR="00083F35" w:rsidRPr="00F45FB0" w:rsidRDefault="00C46BD6" w:rsidP="00BA069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 građevinskog materijala</w:t>
            </w:r>
            <w:r w:rsidR="00A4704A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šifra</w:t>
            </w:r>
            <w:r w:rsidR="003779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ORN</w:t>
            </w:r>
            <w:r w:rsidR="00083F3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  <w:r w:rsidR="00A4704A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eastAsia="Times New Roman" w:hAnsi="Times New Roman" w:cs="Times New Roman"/>
                <w:sz w:val="24"/>
                <w:szCs w:val="24"/>
                <w:lang w:val="sr-Latn-CS"/>
              </w:rPr>
              <w:t>44110000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E1445E" w:rsidRPr="00F45FB0" w14:paraId="386F6E86" w14:textId="77777777" w:rsidTr="006B477E">
        <w:trPr>
          <w:trHeight w:val="993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F0207" w14:textId="77777777" w:rsidR="00E1445E" w:rsidRPr="00F45FB0" w:rsidRDefault="00E1445E" w:rsidP="00BA15B4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427" w:type="dxa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619C4" w14:textId="5F64563A" w:rsidR="00E1445E" w:rsidRPr="000C1AEB" w:rsidRDefault="00E1445E" w:rsidP="00E1445E">
            <w:pPr>
              <w:spacing w:before="60" w:after="60" w:line="240" w:lineRule="auto"/>
              <w:ind w:left="52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 sporazumu o implementaciji programa o stambenom zbrinjavanju u Srbiji, obezbeđenje paketa građevinskog materijala predviđ</w:t>
            </w:r>
            <w:r w:rsidR="00DA09A6" w:rsidRPr="00F45FB0">
              <w:rPr>
                <w:rFonts w:ascii="Times New Roman" w:hAnsi="Times New Roman" w:cs="Times New Roman"/>
                <w:sz w:val="24"/>
                <w:szCs w:val="24"/>
              </w:rPr>
              <w:t>en je kao jedan od modaliteta (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B: Građevinski materijal). Pomenuti modalitet stambenog zbrinjavanja definisan je kao pružanje podrške integraciji izbeglih </w:t>
            </w:r>
            <w:r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lica koja su već započela izgradnju kuća ili koja poseduju neuslovnu kuću pogodnu za adaptaciju, obezbeđivanjem paketa građevinskog materijala. </w:t>
            </w:r>
          </w:p>
          <w:p w14:paraId="450DAB3F" w14:textId="1741E48A" w:rsidR="00E1445E" w:rsidRPr="00F45FB0" w:rsidRDefault="00E1445E" w:rsidP="00B95A99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Obim ovog projekta podrazumeva isporuku </w:t>
            </w:r>
            <w:r w:rsidR="00F71194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B95A99"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20</w:t>
            </w:r>
            <w:r w:rsidRPr="000C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paketa</w:t>
            </w:r>
            <w:r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1AEB">
              <w:rPr>
                <w:rFonts w:ascii="Times New Roman" w:hAnsi="Times New Roman" w:cs="Times New Roman"/>
                <w:b/>
                <w:sz w:val="24"/>
                <w:szCs w:val="24"/>
              </w:rPr>
              <w:t>građevinskog materijala</w:t>
            </w:r>
            <w:r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 korisnicima,</w:t>
            </w:r>
            <w:r w:rsidRPr="000C1AE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 na lokacijama datim u </w:t>
            </w:r>
            <w:r w:rsidRPr="000C1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Aneksu </w:t>
            </w:r>
            <w:r w:rsidRPr="000C1AEB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Pr="000C1AEB">
              <w:rPr>
                <w:rFonts w:ascii="Times New Roman" w:hAnsi="Times New Roman" w:cs="Times New Roman"/>
                <w:sz w:val="24"/>
                <w:szCs w:val="24"/>
              </w:rPr>
              <w:t>: Struktura količina za m</w:t>
            </w:r>
            <w:r w:rsidR="00C075F8" w:rsidRPr="000C1AEB">
              <w:rPr>
                <w:rFonts w:ascii="Times New Roman" w:hAnsi="Times New Roman" w:cs="Times New Roman"/>
                <w:sz w:val="24"/>
                <w:szCs w:val="24"/>
              </w:rPr>
              <w:t>aterijal</w:t>
            </w:r>
            <w:r w:rsidR="004D5884" w:rsidRPr="000C1AEB">
              <w:rPr>
                <w:rFonts w:ascii="Times New Roman" w:hAnsi="Times New Roman" w:cs="Times New Roman"/>
                <w:sz w:val="24"/>
                <w:szCs w:val="24"/>
              </w:rPr>
              <w:t xml:space="preserve"> tenderske dokumentacije</w:t>
            </w:r>
            <w:r w:rsidRPr="000C1A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1445E" w:rsidRPr="00F45FB0" w14:paraId="13FC87F9" w14:textId="77777777" w:rsidTr="006B477E">
        <w:trPr>
          <w:trHeight w:val="13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0AFD4" w14:textId="77777777" w:rsidR="00E1445E" w:rsidRPr="00F45FB0" w:rsidRDefault="00E1445E" w:rsidP="00BA15B4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61190" w14:textId="77777777" w:rsidR="00E1445E" w:rsidRPr="00F45FB0" w:rsidRDefault="00E1445E" w:rsidP="0074634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65DBF1E1" w14:textId="77777777" w:rsidTr="004E29A9">
        <w:trPr>
          <w:trHeight w:val="28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A6DB" w14:textId="77777777" w:rsidR="002D6E25" w:rsidRPr="00F45FB0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7D9EE" w14:textId="12022C39" w:rsidR="00083F35" w:rsidRPr="00F45FB0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422A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422A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nabavka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0422A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422A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0422A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partijama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0460C" w14:textId="63FF9871" w:rsidR="00643F81" w:rsidRPr="00063ECC" w:rsidRDefault="000422AE" w:rsidP="004168A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63EC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Nabavka </w:t>
            </w:r>
            <w:r w:rsidR="004168A1" w:rsidRPr="00063ECC">
              <w:rPr>
                <w:rFonts w:ascii="Times New Roman" w:hAnsi="Times New Roman" w:cs="Times New Roman"/>
                <w:b/>
                <w:sz w:val="24"/>
                <w:szCs w:val="24"/>
              </w:rPr>
              <w:t>ni</w:t>
            </w:r>
            <w:r w:rsidR="004168A1" w:rsidRPr="00063EC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je podeljena na</w:t>
            </w:r>
            <w:r w:rsidRPr="00063EC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651888" w:rsidRPr="00063EC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B95A99" w:rsidRPr="00063EC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Partije</w:t>
            </w:r>
            <w:r w:rsidR="004168A1" w:rsidRPr="00063EC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845906" w:rsidRPr="00F45FB0" w14:paraId="02DECC6C" w14:textId="77777777" w:rsidTr="006B477E">
        <w:trPr>
          <w:trHeight w:val="284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D406B" w14:textId="77777777" w:rsidR="00845906" w:rsidRPr="00F45FB0" w:rsidRDefault="00845906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D0F14" w14:textId="523D8CDD" w:rsidR="00845906" w:rsidRPr="00F45FB0" w:rsidRDefault="00845906" w:rsidP="004168A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Uku</w:t>
            </w:r>
            <w:r w:rsidR="004168A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pna procenjena vrednost nabavke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8749C" w14:textId="59B85D0A" w:rsidR="00845906" w:rsidRPr="00063ECC" w:rsidRDefault="00845906" w:rsidP="00E3731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063EC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Ukupna proce</w:t>
            </w:r>
            <w:r w:rsidR="00243D79" w:rsidRPr="00063EC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njena vrednost nabavke iznosi</w:t>
            </w:r>
            <w:r w:rsidR="00D5404F" w:rsidRPr="00063EC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243D79" w:rsidRPr="00063EC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 </w:t>
            </w:r>
            <w:r w:rsidR="00A950FA" w:rsidRPr="00063ECC">
              <w:rPr>
                <w:rFonts w:ascii="Times New Roman" w:hAnsi="Times New Roman" w:cs="Times New Roman"/>
                <w:b/>
                <w:sz w:val="24"/>
              </w:rPr>
              <w:t>992.329,1</w:t>
            </w:r>
            <w:r w:rsidR="000D0D50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71F29" w:rsidRPr="00063ECC">
              <w:rPr>
                <w:b/>
                <w:sz w:val="24"/>
                <w:lang w:val="sr-Latn-CS"/>
              </w:rPr>
              <w:t xml:space="preserve"> </w:t>
            </w:r>
            <w:r w:rsidRPr="00063EC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evra bez PDV.</w:t>
            </w:r>
          </w:p>
          <w:p w14:paraId="03E853AD" w14:textId="72657D6A" w:rsidR="00845906" w:rsidRPr="00063ECC" w:rsidRDefault="00845906" w:rsidP="004168A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746344" w:rsidRPr="00F45FB0" w14:paraId="66C2FBBA" w14:textId="77777777" w:rsidTr="006B477E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B356E" w14:textId="7DEE5D02" w:rsidR="002D6E25" w:rsidRPr="00F45FB0" w:rsidRDefault="002D6E25" w:rsidP="006B477E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B4275" w14:textId="77777777" w:rsidR="006B477E" w:rsidRPr="00F45FB0" w:rsidRDefault="006B477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119D9DFF" w14:textId="1C324EED" w:rsidR="00083F35" w:rsidRPr="00F45FB0" w:rsidRDefault="00F5074E" w:rsidP="00C01A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870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 sporazuma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870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sporazum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870E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sporazum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746344" w:rsidRPr="00F45FB0" w14:paraId="5E19AA7C" w14:textId="77777777" w:rsidTr="00677E0A">
        <w:trPr>
          <w:trHeight w:val="707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00255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427" w:type="dxa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66911" w14:textId="77777777" w:rsidR="002D6E25" w:rsidRPr="00F45FB0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Nije</w:t>
            </w:r>
            <w:r w:rsidR="00A92081" w:rsidRPr="00F45FB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60401" w:rsidRPr="00F45FB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primen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jivo</w:t>
            </w:r>
          </w:p>
        </w:tc>
      </w:tr>
      <w:tr w:rsidR="00746344" w:rsidRPr="00F45FB0" w14:paraId="3D0E11BB" w14:textId="77777777" w:rsidTr="00677E0A">
        <w:trPr>
          <w:trHeight w:val="22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AE33E3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940F7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6344" w:rsidRPr="00F45FB0" w14:paraId="3CCA5F6A" w14:textId="77777777" w:rsidTr="00677E0A">
        <w:trPr>
          <w:trHeight w:val="302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B1025" w14:textId="77777777" w:rsidR="002D6E25" w:rsidRPr="00F45FB0" w:rsidRDefault="002D6E2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733C9" w14:textId="22DEC46A" w:rsidR="002D6E25" w:rsidRPr="00F45FB0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484E4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 učešće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746344" w:rsidRPr="00F45FB0" w14:paraId="0E8BEE89" w14:textId="77777777" w:rsidTr="00677E0A">
        <w:trPr>
          <w:trHeight w:val="172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B4498" w14:textId="77777777" w:rsidR="002D6E25" w:rsidRPr="00F45FB0" w:rsidRDefault="002D6E25" w:rsidP="004F33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41F4" w14:textId="685B6559" w:rsidR="00F715B5" w:rsidRPr="00F45FB0" w:rsidRDefault="00F5074E" w:rsidP="004F33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484E4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samostalno</w:t>
            </w:r>
            <w:r w:rsidR="00BA0697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484E4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ponuđača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39514C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enderske</w:t>
            </w:r>
            <w:r w:rsidR="00F715B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dokumenacije</w:t>
            </w:r>
            <w:r w:rsidR="00F37FD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Uputstvo</w:t>
            </w:r>
            <w:r w:rsidR="00412F3F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412F3F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ponuđače</w:t>
            </w:r>
            <w:r w:rsidR="00F37FD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 dodelu ugovora o nabavci građevinskog materijala</w:t>
            </w:r>
            <w:r w:rsidR="00412F3F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412F3F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3:</w:t>
            </w:r>
            <w:r w:rsidR="006E2C2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Kriter</w:t>
            </w:r>
            <w:r w:rsidR="00030C94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F37FD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</w:t>
            </w:r>
            <w:r w:rsidR="006E2C2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37FD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mi za učešće</w:t>
            </w:r>
            <w:r w:rsidR="00AB6DD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37FD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</w:t>
            </w:r>
            <w:r w:rsidR="00D4049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 učešća</w:t>
            </w:r>
            <w:r w:rsidR="00F37FD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="00246CA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kao</w:t>
            </w:r>
            <w:r w:rsidR="00246CA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46CA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uslove</w:t>
            </w:r>
            <w:r w:rsidR="00246CA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246CA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E216C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Vodiču</w:t>
            </w:r>
            <w:r w:rsidR="00E216C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E216C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nabavku</w:t>
            </w:r>
            <w:r w:rsidR="00E216C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E216C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E216C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E216C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46CA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Banke</w:t>
            </w:r>
            <w:r w:rsidR="00BF3B9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BF3B9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razvoj</w:t>
            </w:r>
            <w:r w:rsidR="00BF3B9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52E86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aveta</w:t>
            </w:r>
            <w:r w:rsidR="00BF3B9D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Evrope</w:t>
            </w:r>
            <w:r w:rsidR="00246CA2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;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Odeljak</w:t>
            </w:r>
            <w:r w:rsidR="00E216C1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3.3: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Podobnost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učestvovanje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postupku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obezbeđivanje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dobara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radova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usluga</w:t>
            </w:r>
            <w:r w:rsidR="002B65C9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7063725B" w14:textId="09DDF744" w:rsidR="00527DE7" w:rsidRPr="00F45FB0" w:rsidRDefault="0025244F" w:rsidP="004F33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</w:pPr>
            <w:hyperlink r:id="rId9" w:history="1">
              <w:r w:rsidR="00A97D49" w:rsidRPr="00F45FB0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http://www.coebank.org/documents/107/Procurement_Guidelines_LJhjgEt.pdf</w:t>
              </w:r>
            </w:hyperlink>
          </w:p>
          <w:p w14:paraId="2363AAB8" w14:textId="77777777" w:rsidR="00A97D49" w:rsidRPr="00F45FB0" w:rsidRDefault="00A97D49" w:rsidP="004F33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</w:pPr>
          </w:p>
          <w:p w14:paraId="2B3F3128" w14:textId="77777777" w:rsidR="00A97D49" w:rsidRPr="00F45FB0" w:rsidRDefault="00A97D49" w:rsidP="00A97D49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sr-Latn-RS"/>
              </w:rPr>
            </w:pPr>
            <w:r w:rsidRPr="00F45FB0">
              <w:rPr>
                <w:rFonts w:ascii="Times New Roman" w:eastAsia="Calibri" w:hAnsi="Times New Roman" w:cs="Times New Roman"/>
                <w:sz w:val="24"/>
                <w:szCs w:val="24"/>
                <w:lang w:eastAsia="sr-Latn-RS"/>
              </w:rPr>
              <w:t xml:space="preserve">Takođe, Banka za razvoj Saveta Evrope neće obezbediti ili na drugi način osigurati sredstva, direktno ili indirektno, za ili u korist fizičkog ili pravnog lica koji podleže finansijskim sankcijama koje je nametnula Evropska Unija, bilo samostalno ili u skladu sa finansijskim sankcijama koje je odredio Savet bezbednosti Ujedinjenih nacija, a koji je dostupan na Lista sankcija EU: </w:t>
            </w:r>
            <w:hyperlink r:id="rId10" w:anchor="/main" w:history="1">
              <w:r w:rsidRPr="00F45FB0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eastAsia="sr-Latn-RS"/>
                </w:rPr>
                <w:t>https://www.sanctionsmap.eu/#/main</w:t>
              </w:r>
            </w:hyperlink>
            <w:r w:rsidRPr="00F45FB0">
              <w:rPr>
                <w:rFonts w:ascii="Times New Roman" w:eastAsia="Calibri" w:hAnsi="Times New Roman" w:cs="Times New Roman"/>
                <w:sz w:val="24"/>
                <w:szCs w:val="24"/>
                <w:lang w:eastAsia="sr-Latn-RS"/>
              </w:rPr>
              <w:t xml:space="preserve"> .</w:t>
            </w:r>
          </w:p>
          <w:p w14:paraId="5845F319" w14:textId="77777777" w:rsidR="00A97D49" w:rsidRPr="00F45FB0" w:rsidRDefault="00A97D49" w:rsidP="004F33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sr-Latn-CS"/>
              </w:rPr>
            </w:pPr>
          </w:p>
        </w:tc>
      </w:tr>
      <w:tr w:rsidR="00746344" w:rsidRPr="00F45FB0" w14:paraId="087E12C1" w14:textId="77777777" w:rsidTr="00677E0A">
        <w:trPr>
          <w:trHeight w:val="23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AB930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F41DA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63D60469" w14:textId="77777777" w:rsidTr="00677E0A">
        <w:trPr>
          <w:trHeight w:val="368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21F52" w14:textId="77777777" w:rsidR="002D6E25" w:rsidRPr="00F45FB0" w:rsidRDefault="002D6E2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8893F" w14:textId="4261D4FC" w:rsidR="002D6E25" w:rsidRPr="00F45FB0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EB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za </w:t>
            </w:r>
            <w:r w:rsidR="00095EBE" w:rsidRPr="00F45FB0">
              <w:rPr>
                <w:rFonts w:ascii="Times New Roman" w:hAnsi="Times New Roman" w:cs="Times New Roman"/>
                <w:sz w:val="24"/>
                <w:szCs w:val="24"/>
              </w:rPr>
              <w:t>izbor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6344" w:rsidRPr="00F45FB0" w14:paraId="261A1DF1" w14:textId="77777777" w:rsidTr="00C942FF">
        <w:trPr>
          <w:trHeight w:val="172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7417C6" w14:textId="77777777" w:rsidR="002D6E25" w:rsidRPr="00F45FB0" w:rsidRDefault="002D6E25" w:rsidP="004F33DB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EF8B9E" w14:textId="2A3C67F3" w:rsidR="008A5B70" w:rsidRPr="002B20F4" w:rsidRDefault="00F5074E" w:rsidP="004F33DB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2B20F4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2B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0F4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2B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0F4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2B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0F4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2B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0F4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2B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0F4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2B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2E86" w:rsidRPr="002B20F4">
              <w:rPr>
                <w:rFonts w:ascii="Times New Roman" w:hAnsi="Times New Roman" w:cs="Times New Roman"/>
                <w:sz w:val="24"/>
                <w:szCs w:val="24"/>
              </w:rPr>
              <w:t>sledeće</w:t>
            </w:r>
            <w:r w:rsidR="00AB2B7D" w:rsidRPr="002B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0F4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8A5B70" w:rsidRPr="002B20F4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:</w:t>
            </w:r>
            <w:r w:rsidR="00246CA2" w:rsidRPr="002B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996F77" w14:textId="16E31A65" w:rsidR="00746344" w:rsidRPr="002B20F4" w:rsidRDefault="00746344" w:rsidP="004F33DB">
            <w:pPr>
              <w:pStyle w:val="BodyText"/>
              <w:numPr>
                <w:ilvl w:val="3"/>
                <w:numId w:val="3"/>
              </w:numPr>
              <w:tabs>
                <w:tab w:val="left" w:pos="0"/>
                <w:tab w:val="left" w:pos="1133"/>
                <w:tab w:val="left" w:pos="2266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320"/>
              <w:jc w:val="both"/>
              <w:outlineLvl w:val="3"/>
              <w:rPr>
                <w:b/>
              </w:rPr>
            </w:pPr>
            <w:r w:rsidRPr="002B20F4">
              <w:rPr>
                <w:b/>
                <w:lang w:val="sr-Latn-CS"/>
              </w:rPr>
              <w:t>F</w:t>
            </w:r>
            <w:r w:rsidRPr="002B20F4">
              <w:rPr>
                <w:b/>
              </w:rPr>
              <w:t>inansijski kapacitet ponuđača</w:t>
            </w:r>
            <w:r w:rsidRPr="002B20F4">
              <w:t>:</w:t>
            </w:r>
          </w:p>
          <w:p w14:paraId="7455E212" w14:textId="65890B63" w:rsidR="00746344" w:rsidRPr="002B20F4" w:rsidRDefault="00746344" w:rsidP="004F33DB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 w:hanging="283"/>
              <w:jc w:val="both"/>
              <w:outlineLvl w:val="3"/>
            </w:pPr>
            <w:r w:rsidRPr="002B20F4">
              <w:rPr>
                <w:b/>
              </w:rPr>
              <w:t>Likvidnost:</w:t>
            </w:r>
            <w:r w:rsidRPr="002B20F4">
              <w:t xml:space="preserve"> Da ponuđač nije imao registrovane blokade računa u poslednjih dvanaest (12) meseci </w:t>
            </w:r>
            <w:r w:rsidRPr="002B20F4">
              <w:rPr>
                <w:lang w:val="sr-Latn-CS"/>
              </w:rPr>
              <w:t>do</w:t>
            </w:r>
            <w:r w:rsidR="005A043C" w:rsidRPr="002B20F4">
              <w:t xml:space="preserve"> dana objavljivanja</w:t>
            </w:r>
            <w:r w:rsidRPr="002B20F4">
              <w:t xml:space="preserve"> poziva</w:t>
            </w:r>
            <w:r w:rsidRPr="002B20F4">
              <w:rPr>
                <w:lang w:val="sr-Latn-CS"/>
              </w:rPr>
              <w:t xml:space="preserve"> za podnošenje ponuda</w:t>
            </w:r>
            <w:r w:rsidRPr="002B20F4">
              <w:t xml:space="preserve">. </w:t>
            </w:r>
          </w:p>
          <w:p w14:paraId="2D5ACC47" w14:textId="77777777" w:rsidR="005A043C" w:rsidRPr="002B20F4" w:rsidRDefault="005A043C" w:rsidP="004F33DB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2B20F4">
              <w:rPr>
                <w:lang w:val="sr-Latn-CS"/>
              </w:rPr>
              <w:t xml:space="preserve">Ukoliko ponudu podnosi grupa ponuđača: </w:t>
            </w:r>
            <w:r w:rsidRPr="002B20F4">
              <w:t>Ovaj uslov se odnosi</w:t>
            </w:r>
            <w:r w:rsidR="001907ED" w:rsidRPr="002B20F4">
              <w:t xml:space="preserve"> na sve članov</w:t>
            </w:r>
            <w:r w:rsidRPr="002B20F4">
              <w:t>e grupe ponuđača</w:t>
            </w:r>
            <w:r w:rsidRPr="002B20F4">
              <w:rPr>
                <w:lang w:val="sr-Latn-CS"/>
              </w:rPr>
              <w:t xml:space="preserve"> pojedinačno</w:t>
            </w:r>
            <w:r w:rsidRPr="002B20F4">
              <w:t>.</w:t>
            </w:r>
          </w:p>
          <w:p w14:paraId="5ECF2317" w14:textId="467F1C5B" w:rsidR="001907ED" w:rsidRPr="002B20F4" w:rsidRDefault="005A043C" w:rsidP="004F33DB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2B20F4">
              <w:rPr>
                <w:lang w:val="sr-Latn-CS"/>
              </w:rPr>
              <w:t>Ukoliko se ponuda podnosi sa podizvođačem: Ovaj uslov se odnosi</w:t>
            </w:r>
            <w:r w:rsidRPr="002B20F4">
              <w:t xml:space="preserve"> </w:t>
            </w:r>
            <w:r w:rsidR="001907ED" w:rsidRPr="002B20F4">
              <w:t>na sve podizvođače</w:t>
            </w:r>
            <w:r w:rsidRPr="002B20F4">
              <w:rPr>
                <w:lang w:val="sr-Latn-CS"/>
              </w:rPr>
              <w:t xml:space="preserve"> pojedinačno</w:t>
            </w:r>
            <w:r w:rsidR="001907ED" w:rsidRPr="002B20F4">
              <w:t>.</w:t>
            </w:r>
          </w:p>
          <w:p w14:paraId="10A06CBA" w14:textId="18D78F9A" w:rsidR="00746344" w:rsidRPr="002B20F4" w:rsidRDefault="00746344" w:rsidP="00AD4E34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2B20F4">
              <w:rPr>
                <w:b/>
                <w:lang w:val="sr-Latn-CS"/>
              </w:rPr>
              <w:t>Stečaj i likvidacija</w:t>
            </w:r>
            <w:r w:rsidRPr="002B20F4">
              <w:rPr>
                <w:lang w:val="sr-Latn-CS"/>
              </w:rPr>
              <w:t>: D</w:t>
            </w:r>
            <w:r w:rsidRPr="002B20F4">
              <w:t xml:space="preserve">a nad ponuđačem nije pokrenut postupak </w:t>
            </w:r>
            <w:r w:rsidR="00586017">
              <w:t xml:space="preserve">stečaja ili likvidacije, </w:t>
            </w:r>
            <w:r w:rsidR="00586017">
              <w:rPr>
                <w:lang w:val="sr-Latn-RS"/>
              </w:rPr>
              <w:t xml:space="preserve">kao i </w:t>
            </w:r>
            <w:r w:rsidRPr="002B20F4">
              <w:t xml:space="preserve"> pre</w:t>
            </w:r>
            <w:r w:rsidRPr="002B20F4">
              <w:rPr>
                <w:lang w:val="sr-Latn-CS"/>
              </w:rPr>
              <w:t>t</w:t>
            </w:r>
            <w:r w:rsidRPr="002B20F4">
              <w:t>hodni stečajni postupak.</w:t>
            </w:r>
          </w:p>
          <w:p w14:paraId="29A98FED" w14:textId="77777777" w:rsidR="003359D3" w:rsidRPr="002B20F4" w:rsidRDefault="003359D3" w:rsidP="003359D3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2B20F4">
              <w:t>Ukoliko ponudu podnosi grupa ponuđača: Ovaj uslov se odnosi na sve članove grupe ponuđača pojedinačno.</w:t>
            </w:r>
          </w:p>
          <w:p w14:paraId="3A29CF04" w14:textId="6903508F" w:rsidR="003359D3" w:rsidRPr="002B20F4" w:rsidRDefault="003359D3" w:rsidP="003359D3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2B20F4">
              <w:t>Ukoliko se ponuda podnosi sa podizvođačem: Ovaj uslov se odnosi na sve podizvođače pojedinačno.</w:t>
            </w:r>
          </w:p>
          <w:p w14:paraId="1046316C" w14:textId="3D023984" w:rsidR="00746344" w:rsidRPr="002B20F4" w:rsidRDefault="00746344" w:rsidP="004F33DB">
            <w:pPr>
              <w:pStyle w:val="BodyText"/>
              <w:numPr>
                <w:ilvl w:val="0"/>
                <w:numId w:val="11"/>
              </w:numPr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  <w:rPr>
                <w:lang w:val="sr-Latn-CS"/>
              </w:rPr>
            </w:pPr>
            <w:r w:rsidRPr="002B20F4">
              <w:rPr>
                <w:b/>
              </w:rPr>
              <w:t>Poslovni prihod:</w:t>
            </w:r>
            <w:r w:rsidRPr="002B20F4">
              <w:t xml:space="preserve"> P</w:t>
            </w:r>
            <w:r w:rsidR="00425D02" w:rsidRPr="002B20F4">
              <w:t xml:space="preserve">onuđač mora da poseduje </w:t>
            </w:r>
            <w:r w:rsidR="00A97D49" w:rsidRPr="002B20F4">
              <w:rPr>
                <w:lang w:val="sr-Latn-CS"/>
              </w:rPr>
              <w:t>prosečan</w:t>
            </w:r>
            <w:r w:rsidR="002B785D" w:rsidRPr="002B20F4">
              <w:rPr>
                <w:lang w:val="sr-Latn-CS"/>
              </w:rPr>
              <w:t xml:space="preserve"> </w:t>
            </w:r>
            <w:r w:rsidRPr="002B20F4">
              <w:t>poslovni prihod, tokom prethodne tri godine (201</w:t>
            </w:r>
            <w:r w:rsidR="00BB6A48" w:rsidRPr="002B20F4">
              <w:rPr>
                <w:lang w:val="sr-Latn-CS"/>
              </w:rPr>
              <w:t>8</w:t>
            </w:r>
            <w:r w:rsidRPr="002B20F4">
              <w:t>, 201</w:t>
            </w:r>
            <w:r w:rsidR="00BB6A48" w:rsidRPr="002B20F4">
              <w:rPr>
                <w:lang w:val="sr-Latn-RS"/>
              </w:rPr>
              <w:t>9</w:t>
            </w:r>
            <w:r w:rsidR="00BB6A48" w:rsidRPr="002B20F4">
              <w:t xml:space="preserve"> i 2020</w:t>
            </w:r>
            <w:r w:rsidRPr="002B20F4">
              <w:t>),  koji nije manji od</w:t>
            </w:r>
            <w:r w:rsidRPr="002B20F4">
              <w:rPr>
                <w:lang w:val="sr-Latn-CS"/>
              </w:rPr>
              <w:t>:</w:t>
            </w:r>
          </w:p>
          <w:p w14:paraId="68AF271B" w14:textId="0B33EB94" w:rsidR="00425D02" w:rsidRPr="002B20F4" w:rsidRDefault="006D3B44" w:rsidP="004F33DB">
            <w:pPr>
              <w:pStyle w:val="ListParagraph"/>
              <w:numPr>
                <w:ilvl w:val="1"/>
                <w:numId w:val="19"/>
              </w:num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ind w:left="1171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BD7A4C" w:rsidRPr="002B20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  <w:r w:rsidR="00614871" w:rsidRPr="002B20F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3ECC" w:rsidRPr="002B20F4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A950FA" w:rsidRPr="002B20F4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BD7A4C" w:rsidRPr="002B20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,00 </w:t>
            </w:r>
            <w:r w:rsidR="00425D02" w:rsidRPr="002B20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evra;</w:t>
            </w:r>
          </w:p>
          <w:p w14:paraId="0FEB6B1C" w14:textId="6DC74C6D" w:rsidR="00746344" w:rsidRPr="002B20F4" w:rsidRDefault="00746344" w:rsidP="004F33DB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  <w:rPr>
                <w:lang w:val="en-US"/>
              </w:rPr>
            </w:pPr>
            <w:r w:rsidRPr="002B20F4">
              <w:t>po srednjem kursu</w:t>
            </w:r>
            <w:r w:rsidR="00ED0C20" w:rsidRPr="002B20F4">
              <w:rPr>
                <w:lang w:val="sr-Latn-CS"/>
              </w:rPr>
              <w:t xml:space="preserve"> NBS</w:t>
            </w:r>
            <w:r w:rsidRPr="002B20F4">
              <w:t xml:space="preserve"> na kraju izveštajnog perioda</w:t>
            </w:r>
            <w:r w:rsidRPr="002B20F4">
              <w:rPr>
                <w:lang w:val="en-US"/>
              </w:rPr>
              <w:t>.</w:t>
            </w:r>
          </w:p>
          <w:p w14:paraId="789B9CC1" w14:textId="4E62EA07" w:rsidR="00590E10" w:rsidRPr="002B20F4" w:rsidRDefault="00353AD4" w:rsidP="00121C83">
            <w:pPr>
              <w:pStyle w:val="BodyText"/>
              <w:tabs>
                <w:tab w:val="left" w:pos="0"/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746"/>
              <w:jc w:val="both"/>
              <w:outlineLvl w:val="3"/>
            </w:pPr>
            <w:r w:rsidRPr="002B20F4">
              <w:t>Ukoliko ponudu podnosi grupa ponuđača</w:t>
            </w:r>
            <w:r w:rsidR="00C23564" w:rsidRPr="002B20F4">
              <w:t xml:space="preserve">: </w:t>
            </w:r>
            <w:r w:rsidR="00A15CDA">
              <w:rPr>
                <w:lang w:val="sr-Latn-CS"/>
              </w:rPr>
              <w:t>Minimum 50</w:t>
            </w:r>
            <w:r w:rsidR="003A47F9">
              <w:rPr>
                <w:lang w:val="sr-Latn-CS"/>
              </w:rPr>
              <w:t xml:space="preserve"> </w:t>
            </w:r>
            <w:r w:rsidR="00A97D49" w:rsidRPr="002B20F4">
              <w:rPr>
                <w:lang w:val="sr-Latn-CS"/>
              </w:rPr>
              <w:t>% ovog uslova ispunjava vodeći član grupe ponuđača.</w:t>
            </w:r>
            <w:r w:rsidR="00746344" w:rsidRPr="002B20F4">
              <w:t xml:space="preserve"> </w:t>
            </w:r>
          </w:p>
          <w:p w14:paraId="6B8CB86F" w14:textId="77777777" w:rsidR="00746344" w:rsidRPr="002B20F4" w:rsidRDefault="00746344" w:rsidP="004F33DB">
            <w:pPr>
              <w:pStyle w:val="BodyText"/>
              <w:numPr>
                <w:ilvl w:val="3"/>
                <w:numId w:val="3"/>
              </w:numPr>
              <w:tabs>
                <w:tab w:val="left" w:pos="0"/>
                <w:tab w:val="left" w:pos="1133"/>
                <w:tab w:val="left" w:pos="2266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320"/>
              <w:jc w:val="both"/>
              <w:outlineLvl w:val="3"/>
              <w:rPr>
                <w:b/>
                <w:lang w:val="sr-Latn-CS"/>
              </w:rPr>
            </w:pPr>
            <w:r w:rsidRPr="002B20F4">
              <w:rPr>
                <w:b/>
                <w:lang w:val="sr-Latn-CS"/>
              </w:rPr>
              <w:t>Poslovni kapacitet ponuđača:</w:t>
            </w:r>
          </w:p>
          <w:p w14:paraId="108C6374" w14:textId="4FF8775E" w:rsidR="00195447" w:rsidRPr="002B20F4" w:rsidRDefault="00746344" w:rsidP="00195447">
            <w:pPr>
              <w:pStyle w:val="BodyText"/>
              <w:numPr>
                <w:ilvl w:val="0"/>
                <w:numId w:val="18"/>
              </w:numPr>
              <w:tabs>
                <w:tab w:val="left" w:pos="0"/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887"/>
              <w:jc w:val="both"/>
              <w:outlineLvl w:val="3"/>
              <w:rPr>
                <w:b/>
                <w:szCs w:val="24"/>
                <w:lang w:val="sr-Latn-CS"/>
              </w:rPr>
            </w:pPr>
            <w:r w:rsidRPr="002B20F4">
              <w:rPr>
                <w:b/>
              </w:rPr>
              <w:t xml:space="preserve">Iskustvo ponuđača. </w:t>
            </w:r>
            <w:r w:rsidRPr="002B20F4">
              <w:t>Ponuđač mora da dokaže da je u</w:t>
            </w:r>
            <w:r w:rsidR="000B16FB" w:rsidRPr="002B20F4">
              <w:rPr>
                <w:lang w:val="sr-Latn-CS"/>
              </w:rPr>
              <w:t xml:space="preserve"> periodu od </w:t>
            </w:r>
            <w:r w:rsidR="000515E2" w:rsidRPr="002B20F4">
              <w:rPr>
                <w:lang w:val="sr-Latn-CS"/>
              </w:rPr>
              <w:t>01.01.2019</w:t>
            </w:r>
            <w:r w:rsidR="00442183" w:rsidRPr="002B20F4">
              <w:rPr>
                <w:lang w:val="sr-Latn-CS"/>
              </w:rPr>
              <w:t>. godine</w:t>
            </w:r>
            <w:r w:rsidRPr="002B20F4">
              <w:t xml:space="preserve"> do datuma objavljivanja poziva za podnošenje ponuda, </w:t>
            </w:r>
            <w:r w:rsidR="00D851A3" w:rsidRPr="002B20F4">
              <w:rPr>
                <w:lang w:val="sr-Latn-RS"/>
              </w:rPr>
              <w:t>isporučio građevinski</w:t>
            </w:r>
            <w:r w:rsidRPr="002B20F4">
              <w:rPr>
                <w:lang w:val="sr-Latn-RS"/>
              </w:rPr>
              <w:t xml:space="preserve"> materijal u vrednosti od najmanje:</w:t>
            </w:r>
          </w:p>
          <w:p w14:paraId="45ABC9A5" w14:textId="1B58C5F4" w:rsidR="00C34342" w:rsidRPr="002B20F4" w:rsidRDefault="006D3B44" w:rsidP="00C34342">
            <w:pPr>
              <w:pStyle w:val="ListParagraph"/>
              <w:numPr>
                <w:ilvl w:val="1"/>
                <w:numId w:val="19"/>
              </w:numPr>
              <w:tabs>
                <w:tab w:val="clear" w:pos="720"/>
                <w:tab w:val="left" w:pos="0"/>
                <w:tab w:val="left" w:pos="1133"/>
                <w:tab w:val="left" w:pos="2266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uppressAutoHyphens w:val="0"/>
              <w:spacing w:before="120" w:after="120" w:line="240" w:lineRule="auto"/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</w:t>
            </w:r>
            <w:r w:rsidR="00BE1F2D" w:rsidRPr="002B20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  <w:r w:rsidR="006E5229" w:rsidRPr="002B20F4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  <w:r w:rsidR="00A950FA" w:rsidRPr="002B20F4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  <w:r w:rsidR="00BE1F2D" w:rsidRPr="002B20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,00</w:t>
            </w:r>
            <w:r w:rsidR="00C34342" w:rsidRPr="002B20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evra;</w:t>
            </w:r>
          </w:p>
          <w:p w14:paraId="6D7F6099" w14:textId="4AA9BB6D" w:rsidR="00D851A3" w:rsidRPr="002B20F4" w:rsidRDefault="00D851A3" w:rsidP="00D851A3">
            <w:pPr>
              <w:pStyle w:val="BodyText"/>
              <w:spacing w:before="120" w:after="120"/>
              <w:jc w:val="both"/>
              <w:rPr>
                <w:lang w:val="sr-Latn-CS"/>
              </w:rPr>
            </w:pPr>
            <w:r w:rsidRPr="002B20F4">
              <w:rPr>
                <w:lang w:val="sr-Latn-CS"/>
              </w:rPr>
              <w:t xml:space="preserve">               po srednjem kursu NBS na dan izvršene isporuke.</w:t>
            </w:r>
          </w:p>
          <w:p w14:paraId="18975254" w14:textId="576CBF56" w:rsidR="001E4933" w:rsidRPr="002B20F4" w:rsidRDefault="00DB7FC9" w:rsidP="001E4933">
            <w:pPr>
              <w:pStyle w:val="BodyText"/>
              <w:tabs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851" w:hanging="816"/>
              <w:jc w:val="both"/>
              <w:outlineLvl w:val="3"/>
              <w:rPr>
                <w:lang w:val="sr-Latn-CS"/>
              </w:rPr>
            </w:pPr>
            <w:r w:rsidRPr="002B20F4">
              <w:rPr>
                <w:b/>
                <w:lang w:val="sr-Latn-CS"/>
              </w:rPr>
              <w:t xml:space="preserve">             </w:t>
            </w:r>
            <w:r w:rsidR="001E4933" w:rsidRPr="002B20F4">
              <w:t>Ukoliko ponudu podnosi grupa ponuđača</w:t>
            </w:r>
            <w:r w:rsidRPr="002B20F4">
              <w:t>:</w:t>
            </w:r>
            <w:r w:rsidR="00511BA4" w:rsidRPr="002B20F4">
              <w:rPr>
                <w:lang w:val="sr-Latn-CS"/>
              </w:rPr>
              <w:t xml:space="preserve"> </w:t>
            </w:r>
            <w:r w:rsidR="003A243E" w:rsidRPr="002B20F4">
              <w:rPr>
                <w:lang w:val="sr-Latn-CS"/>
              </w:rPr>
              <w:t>Minimum 50 % ovog uslova ispunjava vodeći član grupe ponuđača</w:t>
            </w:r>
          </w:p>
          <w:p w14:paraId="17DA0E07" w14:textId="18B447BA" w:rsidR="00C07C23" w:rsidRPr="002B20F4" w:rsidRDefault="00746344" w:rsidP="004F33DB">
            <w:pPr>
              <w:pStyle w:val="BodyText"/>
              <w:numPr>
                <w:ilvl w:val="0"/>
                <w:numId w:val="18"/>
              </w:numPr>
              <w:tabs>
                <w:tab w:val="left" w:pos="0"/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887"/>
              <w:jc w:val="both"/>
              <w:outlineLvl w:val="3"/>
              <w:rPr>
                <w:b/>
              </w:rPr>
            </w:pPr>
            <w:r w:rsidRPr="002B20F4">
              <w:rPr>
                <w:b/>
              </w:rPr>
              <w:lastRenderedPageBreak/>
              <w:t>ISO 9001:</w:t>
            </w:r>
            <w:r w:rsidR="00B56831" w:rsidRPr="002B20F4">
              <w:rPr>
                <w:b/>
                <w:lang w:val="sr-Latn-CS"/>
              </w:rPr>
              <w:t xml:space="preserve"> </w:t>
            </w:r>
            <w:r w:rsidRPr="002B20F4">
              <w:rPr>
                <w:b/>
              </w:rPr>
              <w:t>20</w:t>
            </w:r>
            <w:r w:rsidR="00DB7FC9" w:rsidRPr="002B20F4">
              <w:rPr>
                <w:b/>
                <w:lang w:val="sr-Latn-CS"/>
              </w:rPr>
              <w:t>15</w:t>
            </w:r>
            <w:r w:rsidR="006B30EC" w:rsidRPr="002B20F4">
              <w:rPr>
                <w:b/>
                <w:lang w:val="sr-Latn-CS"/>
              </w:rPr>
              <w:t xml:space="preserve"> – Sistem menadžmenta kvalitetom</w:t>
            </w:r>
          </w:p>
          <w:p w14:paraId="3EFA1F7B" w14:textId="573075DF" w:rsidR="00746344" w:rsidRPr="002B20F4" w:rsidRDefault="00C07C23" w:rsidP="00CB5E4C">
            <w:pPr>
              <w:pStyle w:val="BodyText"/>
              <w:tabs>
                <w:tab w:val="left" w:pos="0"/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887"/>
              <w:jc w:val="both"/>
              <w:outlineLvl w:val="3"/>
              <w:rPr>
                <w:b/>
              </w:rPr>
            </w:pPr>
            <w:r w:rsidRPr="002B20F4">
              <w:rPr>
                <w:b/>
                <w:lang w:val="sr-Latn-CS"/>
              </w:rPr>
              <w:t xml:space="preserve">ISO 14001:2015 </w:t>
            </w:r>
            <w:r w:rsidR="00902D02" w:rsidRPr="002B20F4">
              <w:rPr>
                <w:b/>
                <w:lang w:val="sr-Latn-CS"/>
              </w:rPr>
              <w:t xml:space="preserve"> </w:t>
            </w:r>
            <w:r w:rsidR="006B30EC" w:rsidRPr="002B20F4">
              <w:rPr>
                <w:b/>
                <w:lang w:val="sr-Latn-CS"/>
              </w:rPr>
              <w:t xml:space="preserve">- Sistem upravljanja zaštitom životne sredine </w:t>
            </w:r>
          </w:p>
          <w:p w14:paraId="0E37D2C7" w14:textId="77777777" w:rsidR="002D6E25" w:rsidRPr="002B20F4" w:rsidRDefault="00633401" w:rsidP="00C07C23">
            <w:pPr>
              <w:pStyle w:val="BodyText"/>
              <w:spacing w:before="120" w:after="120"/>
              <w:ind w:left="887"/>
              <w:jc w:val="both"/>
              <w:rPr>
                <w:lang w:val="sr-Latn-CS"/>
              </w:rPr>
            </w:pPr>
            <w:r w:rsidRPr="002B20F4">
              <w:rPr>
                <w:lang w:val="sr-Latn-CS"/>
              </w:rPr>
              <w:t>Ukoliko ponudu podnosi grupa ponuđača</w:t>
            </w:r>
            <w:r w:rsidR="00DB7FC9" w:rsidRPr="002B20F4">
              <w:rPr>
                <w:lang w:val="sr-Latn-CS"/>
              </w:rPr>
              <w:t xml:space="preserve">: </w:t>
            </w:r>
            <w:r w:rsidR="0092105A" w:rsidRPr="002B20F4">
              <w:rPr>
                <w:lang w:val="sr-Latn-CS"/>
              </w:rPr>
              <w:t>Ovaj uslov ispu</w:t>
            </w:r>
            <w:r w:rsidR="00051B03" w:rsidRPr="002B20F4">
              <w:rPr>
                <w:lang w:val="sr-Latn-CS"/>
              </w:rPr>
              <w:t xml:space="preserve">njava </w:t>
            </w:r>
            <w:r w:rsidR="00C07C23" w:rsidRPr="002B20F4">
              <w:rPr>
                <w:lang w:val="sr-Latn-CS"/>
              </w:rPr>
              <w:t>vodeći član grupe ponuđača</w:t>
            </w:r>
          </w:p>
          <w:p w14:paraId="0E9DCF53" w14:textId="77777777" w:rsidR="00A83DF5" w:rsidRPr="002B20F4" w:rsidRDefault="00A83DF5" w:rsidP="00C07C23">
            <w:pPr>
              <w:pStyle w:val="BodyText"/>
              <w:spacing w:before="120" w:after="120"/>
              <w:ind w:left="887"/>
              <w:jc w:val="both"/>
              <w:rPr>
                <w:lang w:val="sr-Latn-CS"/>
              </w:rPr>
            </w:pPr>
          </w:p>
          <w:p w14:paraId="7534D18C" w14:textId="75EFD9A9" w:rsidR="00A83DF5" w:rsidRPr="002B20F4" w:rsidRDefault="00A83DF5" w:rsidP="00A83DF5">
            <w:pPr>
              <w:pStyle w:val="BodyText"/>
              <w:numPr>
                <w:ilvl w:val="3"/>
                <w:numId w:val="3"/>
              </w:numPr>
              <w:tabs>
                <w:tab w:val="left" w:pos="0"/>
                <w:tab w:val="left" w:pos="1133"/>
                <w:tab w:val="left" w:pos="2266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320"/>
              <w:jc w:val="both"/>
              <w:outlineLvl w:val="3"/>
              <w:rPr>
                <w:b/>
                <w:lang w:val="sr-Latn-CS"/>
              </w:rPr>
            </w:pPr>
            <w:r w:rsidRPr="002B20F4">
              <w:rPr>
                <w:b/>
                <w:lang w:val="sr-Latn-CS"/>
              </w:rPr>
              <w:t>Kadrovski kapacitet ponuđača:</w:t>
            </w:r>
          </w:p>
          <w:p w14:paraId="60C2CF1B" w14:textId="77777777" w:rsidR="00A83DF5" w:rsidRPr="002B20F4" w:rsidRDefault="00A83DF5" w:rsidP="00A83DF5">
            <w:pPr>
              <w:pStyle w:val="BodyText"/>
              <w:tabs>
                <w:tab w:val="left" w:pos="0"/>
                <w:tab w:val="left" w:pos="1133"/>
                <w:tab w:val="left" w:pos="2266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320"/>
              <w:jc w:val="both"/>
              <w:outlineLvl w:val="3"/>
              <w:rPr>
                <w:b/>
                <w:lang w:val="sr-Latn-CS"/>
              </w:rPr>
            </w:pPr>
          </w:p>
          <w:p w14:paraId="612AA737" w14:textId="6C404938" w:rsidR="00371CC1" w:rsidRPr="001079A0" w:rsidRDefault="00B3794B" w:rsidP="0056358B">
            <w:pPr>
              <w:pStyle w:val="ListParagraph"/>
              <w:numPr>
                <w:ilvl w:val="0"/>
                <w:numId w:val="25"/>
              </w:num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079A0">
              <w:rPr>
                <w:rFonts w:ascii="Times New Roman" w:hAnsi="Times New Roman" w:cs="Times New Roman"/>
                <w:b/>
                <w:lang w:val="sr-Latn-CS"/>
              </w:rPr>
              <w:t>Ukupan broj zaposlenih</w:t>
            </w:r>
            <w:r w:rsidR="00CF7630" w:rsidRPr="001079A0">
              <w:rPr>
                <w:rFonts w:ascii="Times New Roman" w:hAnsi="Times New Roman" w:cs="Times New Roman"/>
                <w:b/>
                <w:lang w:val="sr-Latn-CS"/>
              </w:rPr>
              <w:t xml:space="preserve"> kod ponuđača</w:t>
            </w:r>
            <w:r w:rsidRPr="001079A0">
              <w:rPr>
                <w:rFonts w:ascii="Times New Roman" w:hAnsi="Times New Roman" w:cs="Times New Roman"/>
                <w:b/>
                <w:lang w:val="sr-Latn-CS"/>
              </w:rPr>
              <w:t xml:space="preserve">: </w:t>
            </w:r>
            <w:r w:rsidR="00371CC1" w:rsidRPr="001079A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371CC1" w:rsidRPr="001079A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Da ponuđač u mesecu koji prethodi mesecu u kome je objavljen javni poziv ima u radnom odnosu najmanje </w:t>
            </w:r>
            <w:r w:rsidR="007C17BD" w:rsidRPr="00107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1CC1" w:rsidRPr="001079A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D591E" w:rsidRPr="001079A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lica</w:t>
            </w:r>
            <w:r w:rsidR="00371CC1" w:rsidRPr="001079A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14:paraId="40F8FFC0" w14:textId="77777777" w:rsidR="00AF4721" w:rsidRPr="002B20F4" w:rsidRDefault="00AF4721" w:rsidP="0056358B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14:paraId="656A7AE1" w14:textId="77777777" w:rsidR="00AF4721" w:rsidRPr="002B20F4" w:rsidRDefault="00AF4721" w:rsidP="0056358B">
            <w:pPr>
              <w:pStyle w:val="BodyText"/>
              <w:tabs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851" w:hanging="816"/>
              <w:outlineLvl w:val="3"/>
              <w:rPr>
                <w:lang w:val="sr-Latn-CS"/>
              </w:rPr>
            </w:pPr>
            <w:r w:rsidRPr="002B20F4">
              <w:rPr>
                <w:b/>
                <w:lang w:val="sr-Latn-CS"/>
              </w:rPr>
              <w:t xml:space="preserve">             </w:t>
            </w:r>
            <w:r w:rsidRPr="002B20F4">
              <w:rPr>
                <w:lang w:val="sr-Latn-CS"/>
              </w:rPr>
              <w:t>Ukoliko ponudu podnosi grupa ponuđača: Minimum 50 % ovog uslova ispunjava vodeći član grupe ponuđača</w:t>
            </w:r>
          </w:p>
          <w:p w14:paraId="2A0ADE5A" w14:textId="77777777" w:rsidR="003C2591" w:rsidRPr="002B20F4" w:rsidRDefault="003C2591" w:rsidP="00AF4721">
            <w:pPr>
              <w:pStyle w:val="BodyText"/>
              <w:tabs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851" w:hanging="816"/>
              <w:jc w:val="both"/>
              <w:outlineLvl w:val="3"/>
              <w:rPr>
                <w:lang w:val="sr-Latn-CS"/>
              </w:rPr>
            </w:pPr>
          </w:p>
          <w:p w14:paraId="7E00DB6A" w14:textId="5499D82E" w:rsidR="003C2591" w:rsidRPr="002B20F4" w:rsidRDefault="003C2591" w:rsidP="00AF4721">
            <w:pPr>
              <w:pStyle w:val="BodyText"/>
              <w:tabs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851" w:hanging="816"/>
              <w:jc w:val="both"/>
              <w:outlineLvl w:val="3"/>
              <w:rPr>
                <w:lang w:val="sr-Latn-CS"/>
              </w:rPr>
            </w:pPr>
            <w:r w:rsidRPr="002B20F4">
              <w:rPr>
                <w:b/>
                <w:lang w:val="sr-Latn-CS"/>
              </w:rPr>
              <w:t>4.</w:t>
            </w:r>
            <w:r w:rsidRPr="002B20F4">
              <w:rPr>
                <w:lang w:val="sr-Latn-CS"/>
              </w:rPr>
              <w:t xml:space="preserve">     </w:t>
            </w:r>
            <w:r w:rsidRPr="002B20F4">
              <w:rPr>
                <w:b/>
                <w:lang w:val="sr-Latn-CS"/>
              </w:rPr>
              <w:t>Tehnički kapacitet ponuđača</w:t>
            </w:r>
            <w:r w:rsidRPr="002B20F4">
              <w:rPr>
                <w:lang w:val="sr-Latn-CS"/>
              </w:rPr>
              <w:t>:</w:t>
            </w:r>
          </w:p>
          <w:p w14:paraId="2D073B92" w14:textId="77777777" w:rsidR="003C2591" w:rsidRPr="002B20F4" w:rsidRDefault="003C2591" w:rsidP="00AF4721">
            <w:pPr>
              <w:pStyle w:val="BodyText"/>
              <w:tabs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851" w:hanging="816"/>
              <w:jc w:val="both"/>
              <w:outlineLvl w:val="3"/>
              <w:rPr>
                <w:lang w:val="sr-Latn-CS"/>
              </w:rPr>
            </w:pPr>
          </w:p>
          <w:p w14:paraId="02127C5A" w14:textId="1FBCC66E" w:rsidR="003C2591" w:rsidRPr="002B20F4" w:rsidRDefault="003C2591" w:rsidP="003C2591">
            <w:pPr>
              <w:pStyle w:val="BodyText"/>
              <w:numPr>
                <w:ilvl w:val="0"/>
                <w:numId w:val="26"/>
              </w:numPr>
              <w:tabs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jc w:val="both"/>
              <w:outlineLvl w:val="3"/>
              <w:rPr>
                <w:lang w:val="sr-Latn-CS"/>
              </w:rPr>
            </w:pPr>
            <w:r w:rsidRPr="002B20F4">
              <w:rPr>
                <w:b/>
                <w:lang w:val="sr-Latn-CS"/>
              </w:rPr>
              <w:t>Skladišni kapacitet</w:t>
            </w:r>
            <w:r w:rsidRPr="002B20F4">
              <w:rPr>
                <w:lang w:val="sr-Latn-CS"/>
              </w:rPr>
              <w:t>: Ponuđač poseduje ili iznajmljuje skladište(a) veličine najmanje</w:t>
            </w:r>
            <w:r w:rsidR="007705BB">
              <w:rPr>
                <w:lang w:val="sr-Latn-CS"/>
              </w:rPr>
              <w:t xml:space="preserve"> 3.000</w:t>
            </w:r>
            <w:r w:rsidRPr="002B20F4">
              <w:rPr>
                <w:lang w:val="sr-Latn-CS"/>
              </w:rPr>
              <w:t xml:space="preserve"> m2, na teritoriji Republike Srbije</w:t>
            </w:r>
          </w:p>
          <w:p w14:paraId="2E87EC9E" w14:textId="75C5E82E" w:rsidR="009E7896" w:rsidRPr="002B20F4" w:rsidRDefault="003C2591" w:rsidP="00481B71">
            <w:pPr>
              <w:pStyle w:val="BodyText"/>
              <w:tabs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ind w:left="395"/>
              <w:jc w:val="both"/>
              <w:outlineLvl w:val="3"/>
              <w:rPr>
                <w:lang w:val="sr-Latn-CS"/>
              </w:rPr>
            </w:pPr>
            <w:r w:rsidRPr="002B20F4">
              <w:rPr>
                <w:lang w:val="sr-Latn-CS"/>
              </w:rPr>
              <w:t>Ukoliko</w:t>
            </w:r>
            <w:r w:rsidR="009D3801">
              <w:rPr>
                <w:lang w:val="sr-Latn-CS"/>
              </w:rPr>
              <w:t xml:space="preserve"> ponudu podnosi grupa ponuđača, članovi grupe o</w:t>
            </w:r>
            <w:r w:rsidR="009E7896" w:rsidRPr="002B20F4">
              <w:rPr>
                <w:lang w:val="sr-Latn-CS"/>
              </w:rPr>
              <w:t xml:space="preserve">vaj uslov </w:t>
            </w:r>
            <w:r w:rsidR="009D3801">
              <w:rPr>
                <w:lang w:val="sr-Latn-CS"/>
              </w:rPr>
              <w:t xml:space="preserve">mogu ispuniti zajednički. </w:t>
            </w:r>
          </w:p>
          <w:p w14:paraId="0985283C" w14:textId="7AD110F5" w:rsidR="003C2591" w:rsidRPr="002B20F4" w:rsidRDefault="003C2591" w:rsidP="00731D5D">
            <w:pPr>
              <w:pStyle w:val="BodyText"/>
              <w:numPr>
                <w:ilvl w:val="0"/>
                <w:numId w:val="26"/>
              </w:numPr>
              <w:tabs>
                <w:tab w:val="left" w:pos="1133"/>
                <w:tab w:val="left" w:pos="2268"/>
                <w:tab w:val="left" w:pos="2832"/>
                <w:tab w:val="left" w:pos="3399"/>
                <w:tab w:val="left" w:pos="3965"/>
                <w:tab w:val="left" w:pos="4532"/>
                <w:tab w:val="left" w:pos="5098"/>
                <w:tab w:val="left" w:pos="5664"/>
                <w:tab w:val="left" w:pos="6231"/>
                <w:tab w:val="left" w:pos="6797"/>
                <w:tab w:val="left" w:pos="7364"/>
                <w:tab w:val="left" w:pos="7930"/>
                <w:tab w:val="left" w:pos="8496"/>
              </w:tabs>
              <w:spacing w:before="120" w:after="120"/>
              <w:jc w:val="both"/>
              <w:outlineLvl w:val="3"/>
              <w:rPr>
                <w:lang w:val="sr-Latn-CS"/>
              </w:rPr>
            </w:pPr>
            <w:r w:rsidRPr="002B20F4">
              <w:rPr>
                <w:b/>
                <w:lang w:val="sr-Latn-CS"/>
              </w:rPr>
              <w:t>Trans</w:t>
            </w:r>
            <w:r w:rsidR="00B608CB" w:rsidRPr="002B20F4">
              <w:rPr>
                <w:b/>
                <w:lang w:val="sr-Latn-CS"/>
              </w:rPr>
              <w:t>portni kapacitet</w:t>
            </w:r>
            <w:r w:rsidR="00B608CB" w:rsidRPr="002B20F4">
              <w:rPr>
                <w:lang w:val="sr-Latn-CS"/>
              </w:rPr>
              <w:t xml:space="preserve">: </w:t>
            </w:r>
            <w:r w:rsidR="009D3801">
              <w:rPr>
                <w:lang w:val="sr-Latn-CS"/>
              </w:rPr>
              <w:t>Ponuđač mora da poseduje ili iznajmljuje n</w:t>
            </w:r>
            <w:r w:rsidR="00731D5D" w:rsidRPr="002B20F4">
              <w:rPr>
                <w:lang w:val="sr-Latn-CS"/>
              </w:rPr>
              <w:t xml:space="preserve">ajmanje dva kamiona </w:t>
            </w:r>
            <w:r w:rsidR="006A3DB2">
              <w:rPr>
                <w:lang w:val="sr-Latn-CS"/>
              </w:rPr>
              <w:t>sa rukom za utovar od minimum 5</w:t>
            </w:r>
            <w:r w:rsidR="00731D5D" w:rsidRPr="002B20F4">
              <w:rPr>
                <w:lang w:val="sr-Latn-CS"/>
              </w:rPr>
              <w:t xml:space="preserve"> </w:t>
            </w:r>
            <w:r w:rsidR="009D3801">
              <w:rPr>
                <w:lang w:val="sr-Latn-CS"/>
              </w:rPr>
              <w:t xml:space="preserve">t i najmanje četiri viljuškara. </w:t>
            </w:r>
          </w:p>
          <w:p w14:paraId="46D9A19F" w14:textId="7BCB25B3" w:rsidR="00A83DF5" w:rsidRPr="002B20F4" w:rsidRDefault="003C2591" w:rsidP="00A83DF5">
            <w:pPr>
              <w:pStyle w:val="BodyText"/>
              <w:spacing w:before="120" w:after="120"/>
              <w:jc w:val="both"/>
              <w:rPr>
                <w:lang w:val="sr-Latn-CS"/>
              </w:rPr>
            </w:pPr>
            <w:r w:rsidRPr="002B20F4">
              <w:rPr>
                <w:lang w:val="sr-Latn-CS"/>
              </w:rPr>
              <w:t xml:space="preserve"> </w:t>
            </w:r>
            <w:r w:rsidR="009D3801" w:rsidRPr="009D3801">
              <w:rPr>
                <w:lang w:val="sr-Latn-CS"/>
              </w:rPr>
              <w:t>Ukoliko ponudu podnosi grupa ponuđača, članovi grupe ovaj uslov mogu ispuniti zajednički.</w:t>
            </w:r>
          </w:p>
        </w:tc>
      </w:tr>
      <w:tr w:rsidR="00746344" w:rsidRPr="00F45FB0" w14:paraId="2D856E58" w14:textId="77777777" w:rsidTr="00C942FF">
        <w:trPr>
          <w:trHeight w:val="22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B5D79" w14:textId="672E4009" w:rsidR="002D6E25" w:rsidRPr="00F45FB0" w:rsidRDefault="00DB7FC9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lastRenderedPageBreak/>
              <w:t xml:space="preserve">    </w:t>
            </w: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DCA45" w14:textId="77777777" w:rsidR="002D6E25" w:rsidRPr="002B20F4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404D7742" w14:textId="77777777" w:rsidTr="00C942FF">
        <w:trPr>
          <w:trHeight w:val="369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6DF10" w14:textId="77777777" w:rsidR="002D6E25" w:rsidRPr="00F45FB0" w:rsidRDefault="002D6E2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85264" w14:textId="0FAC6EC7" w:rsidR="002D6E25" w:rsidRPr="002B20F4" w:rsidRDefault="00461309" w:rsidP="00FC64AE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2B20F4">
              <w:rPr>
                <w:rFonts w:ascii="Times New Roman" w:hAnsi="Times New Roman" w:cs="Times New Roman"/>
                <w:sz w:val="24"/>
                <w:szCs w:val="24"/>
              </w:rPr>
              <w:t>Kriterijum</w:t>
            </w:r>
            <w:r w:rsidRPr="002B20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</w:t>
            </w:r>
            <w:r w:rsidR="009E33F0" w:rsidRPr="002B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0F4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9E33F0" w:rsidRPr="002B2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2B20F4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FC64AE" w:rsidRPr="002B20F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746344" w:rsidRPr="00F45FB0" w14:paraId="3B80E5CE" w14:textId="77777777" w:rsidTr="00C942FF">
        <w:trPr>
          <w:trHeight w:val="512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E9E7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DC7E0" w14:textId="77777777" w:rsidR="002D6E25" w:rsidRPr="002B20F4" w:rsidRDefault="00EC6CDD" w:rsidP="00012EF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2B20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Kriterijum za dodelu ugovora je ekonomski najpovoljnija ponuda određena na osnovu </w:t>
            </w:r>
            <w:r w:rsidRPr="002B20F4">
              <w:rPr>
                <w:rFonts w:ascii="Times New Roman" w:hAnsi="Times New Roman" w:cs="Times New Roman"/>
                <w:b/>
                <w:sz w:val="24"/>
                <w:szCs w:val="24"/>
              </w:rPr>
              <w:t>najniže</w:t>
            </w:r>
            <w:r w:rsidR="00B30A48" w:rsidRPr="002B2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20F4">
              <w:rPr>
                <w:rFonts w:ascii="Times New Roman" w:hAnsi="Times New Roman" w:cs="Times New Roman"/>
                <w:b/>
                <w:sz w:val="24"/>
                <w:szCs w:val="24"/>
              </w:rPr>
              <w:t>ponuđene</w:t>
            </w:r>
            <w:r w:rsidR="00B30A48" w:rsidRPr="002B2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20F4">
              <w:rPr>
                <w:rFonts w:ascii="Times New Roman" w:hAnsi="Times New Roman" w:cs="Times New Roman"/>
                <w:b/>
                <w:sz w:val="24"/>
                <w:szCs w:val="24"/>
              </w:rPr>
              <w:t>cene</w:t>
            </w:r>
            <w:r w:rsidR="00461309" w:rsidRPr="002B20F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.</w:t>
            </w:r>
          </w:p>
          <w:p w14:paraId="1C579872" w14:textId="10D6374E" w:rsidR="00EB7566" w:rsidRPr="002B20F4" w:rsidRDefault="00EB7566" w:rsidP="00EB7566">
            <w:pPr>
              <w:tabs>
                <w:tab w:val="clear" w:pos="720"/>
              </w:tabs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  <w:r w:rsidRPr="002B20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>Naj</w:t>
            </w:r>
            <w:r w:rsidRPr="002B20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povoljnijom</w:t>
            </w:r>
            <w:r w:rsidRPr="002B20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ponudom smatra</w:t>
            </w:r>
            <w:r w:rsidRPr="002B20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će</w:t>
            </w:r>
            <w:r w:rsidRPr="002B20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se ponud</w:t>
            </w:r>
            <w:r w:rsidRPr="002B20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a za koju se</w:t>
            </w:r>
            <w:r w:rsidRPr="002B20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utvrdi da je </w:t>
            </w:r>
            <w:r w:rsidRPr="002B20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prihvatljiva</w:t>
            </w:r>
            <w:r w:rsidR="007466C5" w:rsidRPr="002B20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</w:t>
            </w:r>
            <w:r w:rsidR="007466C5" w:rsidRPr="002B20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i</w:t>
            </w:r>
            <w:r w:rsidRPr="002B20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en-GB"/>
              </w:rPr>
              <w:t xml:space="preserve"> sa najnižom ponuđenom cenom</w:t>
            </w:r>
            <w:r w:rsidRPr="002B20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.</w:t>
            </w:r>
          </w:p>
          <w:p w14:paraId="67800F20" w14:textId="77777777" w:rsidR="00EB7566" w:rsidRPr="002B20F4" w:rsidRDefault="00EB7566" w:rsidP="00EB7566">
            <w:pPr>
              <w:tabs>
                <w:tab w:val="clear" w:pos="720"/>
              </w:tabs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  <w:r w:rsidRPr="002B20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 xml:space="preserve">U slučaju dve ili više ponuda sa istom, najnižom ponuđenom cenom, najpovoljnijom ponudom će se smatrati ponuda sa dužim rokom važenja ponude. </w:t>
            </w:r>
          </w:p>
          <w:p w14:paraId="36D123EE" w14:textId="77777777" w:rsidR="00EB7566" w:rsidRPr="002B20F4" w:rsidRDefault="00EB7566" w:rsidP="00EB7566">
            <w:pPr>
              <w:tabs>
                <w:tab w:val="clear" w:pos="720"/>
              </w:tabs>
              <w:suppressAutoHyphens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</w:pPr>
            <w:r w:rsidRPr="002B20F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CS" w:eastAsia="en-GB"/>
              </w:rPr>
              <w:t>Ukoliko dve ili više ponuda imaju istu i ponuđenu cenu i rok važenja ponude, prednost se daje ponuđaču koji je ponudio duži rok važenja sredstva obezbeđenja za ozbiljnost ponude.</w:t>
            </w:r>
          </w:p>
          <w:p w14:paraId="4869C281" w14:textId="77777777" w:rsidR="00EB7566" w:rsidRPr="002B20F4" w:rsidRDefault="00EB7566" w:rsidP="00012EF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  <w:p w14:paraId="46EE3555" w14:textId="679AB810" w:rsidR="00EB7566" w:rsidRPr="002B20F4" w:rsidRDefault="00EB7566" w:rsidP="00012EF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</w:p>
        </w:tc>
      </w:tr>
      <w:tr w:rsidR="00746344" w:rsidRPr="00F45FB0" w14:paraId="00EC1851" w14:textId="77777777" w:rsidTr="0027244B">
        <w:trPr>
          <w:trHeight w:val="486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CE733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87CA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11A2244D" w14:textId="77777777" w:rsidTr="00746344">
        <w:trPr>
          <w:trHeight w:val="745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D9D49" w14:textId="77777777" w:rsidR="002D6E25" w:rsidRPr="00F45FB0" w:rsidRDefault="002D6E2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7ECC3" w14:textId="3EDF41FC" w:rsidR="002D6E25" w:rsidRPr="00F45FB0" w:rsidRDefault="00461309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nternet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adrese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kojih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može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dokumentacija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2C1CB" w14:textId="045FD51A" w:rsidR="00687B7F" w:rsidRPr="0020289F" w:rsidRDefault="0025244F" w:rsidP="00687B7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380CD7" w:rsidRPr="00951CE6">
                <w:rPr>
                  <w:rFonts w:ascii="Times New Roman" w:hAnsi="Times New Roman" w:cs="Times New Roman"/>
                  <w:sz w:val="24"/>
                  <w:szCs w:val="24"/>
                </w:rPr>
                <w:t>http://www.piu.rs</w:t>
              </w:r>
            </w:hyperlink>
            <w:r w:rsidR="004F33DB" w:rsidRPr="0020289F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46344" w:rsidRPr="00202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73515120" w14:textId="6D330E82" w:rsidR="00380CD7" w:rsidRPr="0020289F" w:rsidRDefault="00380CD7" w:rsidP="000A1FA5">
            <w:pPr>
              <w:spacing w:before="60" w:after="6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val="en-US"/>
              </w:rPr>
            </w:pPr>
          </w:p>
        </w:tc>
      </w:tr>
      <w:tr w:rsidR="00746344" w:rsidRPr="00F45FB0" w14:paraId="18128A14" w14:textId="77777777" w:rsidTr="00746344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75233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93927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77BA2DB4" w14:textId="77777777" w:rsidTr="00746344">
        <w:trPr>
          <w:trHeight w:val="745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042A2" w14:textId="77777777" w:rsidR="002D6E25" w:rsidRPr="00F45FB0" w:rsidRDefault="002D6E2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91EBE" w14:textId="47F50E33" w:rsidR="002D6E25" w:rsidRPr="00F45FB0" w:rsidRDefault="00461309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ok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D02FC" w14:textId="44805BC7" w:rsidR="008F62E9" w:rsidRPr="00F45FB0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1A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se podnosi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30884F2" w14:textId="280A7CF0" w:rsidR="00790B38" w:rsidRPr="00F45FB0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1A" w:rsidRPr="00F45FB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B1A" w:rsidRPr="00F45FB0"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520C" w:rsidRPr="00F45FB0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t>Jedinica za upravljanje projektima u javnom sektoru d.o.o. Beograd</w:t>
            </w:r>
            <w:r w:rsidR="00240CE7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Veljka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Dugoševića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54, </w:t>
            </w:r>
            <w:r w:rsidR="00746344" w:rsidRPr="00F4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sprat</w:t>
            </w:r>
            <w:r w:rsidR="009D2987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3DB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D2987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pisarnica</w:t>
            </w:r>
            <w:r w:rsidR="00930F7A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, 11000</w:t>
            </w:r>
            <w:r w:rsidR="00930F7A" w:rsidRPr="00F45FB0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Beograd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Srbija</w:t>
            </w:r>
            <w:r w:rsidR="008F62E9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8E0F416" w14:textId="29FCFD40" w:rsidR="00790B38" w:rsidRPr="00F45FB0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2520C" w:rsidRPr="00F45FB0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  <w:lang w:val="sr-Latn-CS"/>
              </w:rPr>
              <w:t>Jedinica za upravljanje projektima u javnom sektoru d.o.o. Beograd</w:t>
            </w:r>
            <w:r w:rsidR="00240CE7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Veljka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Dugoševića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54, </w:t>
            </w:r>
            <w:r w:rsidR="00746344" w:rsidRPr="00F4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peti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sprat</w:t>
            </w:r>
            <w:r w:rsidR="009D2987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33DB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="009D2987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pisarnica</w:t>
            </w:r>
            <w:r w:rsidR="00327C06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, 11000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Beograd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Srbija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periodu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66BE7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15:30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  <w:r w:rsidR="00790B38" w:rsidRPr="00F45FB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9009E00" w14:textId="43BE50C8" w:rsidR="002D6E25" w:rsidRPr="00F45FB0" w:rsidRDefault="00F5074E" w:rsidP="001D39C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Krajnji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EE663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9A6397">
              <w:rPr>
                <w:rFonts w:ascii="Times New Roman" w:hAnsi="Times New Roman" w:cs="Times New Roman"/>
                <w:color w:val="auto"/>
                <w:sz w:val="24"/>
                <w:szCs w:val="24"/>
                <w:lang w:val="sr-Latn-CS"/>
              </w:rPr>
              <w:t xml:space="preserve"> </w:t>
            </w:r>
            <w:r w:rsidR="001D39CE" w:rsidRPr="003A47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09.05.2022</w:t>
            </w:r>
            <w:r w:rsidR="00746344" w:rsidRPr="003A47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</w:t>
            </w:r>
            <w:r w:rsidR="007A281B" w:rsidRPr="003A47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godine do 1</w:t>
            </w:r>
            <w:r w:rsidR="00F12DDC" w:rsidRPr="003A47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1</w:t>
            </w:r>
            <w:r w:rsidR="00746344" w:rsidRPr="003A47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 časova</w:t>
            </w:r>
            <w:r w:rsidR="00166BE7" w:rsidRPr="003A47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.</w:t>
            </w:r>
          </w:p>
        </w:tc>
      </w:tr>
      <w:tr w:rsidR="00746344" w:rsidRPr="00F45FB0" w14:paraId="42C1A1BB" w14:textId="77777777" w:rsidTr="00746344">
        <w:trPr>
          <w:trHeight w:val="218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84C13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B4E24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1231EC0F" w14:textId="77777777" w:rsidTr="00746344">
        <w:trPr>
          <w:trHeight w:val="699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5715" w14:textId="77777777" w:rsidR="002D6E25" w:rsidRPr="00F45FB0" w:rsidRDefault="002D6E2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27736F" w14:textId="25FB6F01" w:rsidR="002D6E25" w:rsidRPr="00F45FB0" w:rsidRDefault="00150F5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tvaranje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F45FB0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422A5" w14:textId="43B9006F" w:rsidR="002D6E25" w:rsidRPr="00F45FB0" w:rsidRDefault="00F5074E" w:rsidP="001D39CE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63A">
              <w:rPr>
                <w:rFonts w:ascii="Times New Roman" w:hAnsi="Times New Roman" w:cs="Times New Roman"/>
                <w:sz w:val="24"/>
                <w:szCs w:val="24"/>
              </w:rPr>
              <w:t>održaće</w:t>
            </w:r>
            <w:r w:rsidR="008F62E9" w:rsidRPr="00EE6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663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1F42DB" w:rsidRPr="00EE66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A47F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1D39CE" w:rsidRPr="003A47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>09.05.2022</w:t>
            </w:r>
            <w:r w:rsidR="009A6397" w:rsidRPr="003A47F9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sr-Latn-CS"/>
              </w:rPr>
              <w:t xml:space="preserve">. godine </w:t>
            </w:r>
            <w:r w:rsidRPr="003A47F9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F12DDC" w:rsidRPr="003A47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="00B937F7" w:rsidRPr="003A47F9"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="008F62E9" w:rsidRPr="003A47F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46344" w:rsidRPr="003A47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746344" w:rsidRPr="003A47F9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časova</w:t>
            </w:r>
            <w:r w:rsidR="008F62E9" w:rsidRPr="003A47F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A47F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3A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47F9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3A47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F5E" w:rsidRPr="003A47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>Jedinice</w:t>
            </w:r>
            <w:r w:rsidR="00D2520C" w:rsidRPr="003A47F9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 xml:space="preserve"> za upravljanje projektima</w:t>
            </w:r>
            <w:r w:rsidR="00D2520C" w:rsidRPr="00F45FB0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sr-Latn-CS"/>
              </w:rPr>
              <w:t xml:space="preserve"> u javnom sektoru d.o.o. Beograd</w:t>
            </w:r>
            <w:r w:rsidR="0087516A" w:rsidRPr="00F45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327C06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peti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27C06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11000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F4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344" w:rsidRPr="00F45FB0" w14:paraId="42E7EBD8" w14:textId="77777777" w:rsidTr="00067881">
        <w:trPr>
          <w:trHeight w:val="232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C64E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636B" w14:textId="77777777" w:rsidR="003C35A4" w:rsidRPr="00F45FB0" w:rsidRDefault="003C35A4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46344" w:rsidRPr="00F45FB0" w14:paraId="5DF07D39" w14:textId="77777777" w:rsidTr="00067881">
        <w:trPr>
          <w:trHeight w:val="425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F8D7E" w14:textId="77777777" w:rsidR="002D6E25" w:rsidRPr="00F45FB0" w:rsidRDefault="002D6E2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3F450" w14:textId="505D5566" w:rsidR="002D6E25" w:rsidRPr="00F45FB0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6465" w:rsidRPr="00F45FB0">
              <w:rPr>
                <w:rFonts w:ascii="Times New Roman" w:hAnsi="Times New Roman" w:cs="Times New Roman"/>
                <w:sz w:val="24"/>
                <w:szCs w:val="24"/>
              </w:rPr>
              <w:t>otvaranju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6344" w:rsidRPr="00F45FB0" w14:paraId="1286D067" w14:textId="77777777" w:rsidTr="00067881">
        <w:trPr>
          <w:trHeight w:val="1450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0DD94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169DB" w14:textId="36E4EDBC" w:rsidR="002D6E25" w:rsidRPr="00F45FB0" w:rsidRDefault="001F42DB" w:rsidP="0014564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Naručilac će ponude otvarati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javno i otvaranju može prisustvovati svako zainteresovano lice,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u vreme i na mestu određenom u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ovom Obaveštenju</w:t>
            </w:r>
            <w:r w:rsidR="00E42A4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pokretanju postupka nabavke</w:t>
            </w:r>
            <w:r w:rsidR="00E42A4E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A7309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Uputstvu</w:t>
            </w:r>
            <w:r w:rsidR="00E42A4E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za ponuđače za dodelu ugovora o nabavci građevinskog materijala</w:t>
            </w:r>
            <w:r w:rsidR="00A73099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ponuđačima. 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U postupku otvaranja ponuda mogu aktivno učestvovati samo ovlašćeni predstavnici ponuđača, u kom slučaju su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 obavezi da dostave ovlašćenje za prisustvovanje</w:t>
            </w:r>
            <w:r w:rsidR="00E42A4E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otvaranju ponuda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i potpisivanje</w:t>
            </w:r>
            <w:r w:rsidR="00145648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zapisnika o otvaranju ponuda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46344" w:rsidRPr="00F45FB0" w14:paraId="11B0FD98" w14:textId="77777777" w:rsidTr="00067881">
        <w:trPr>
          <w:trHeight w:val="238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5AABA" w14:textId="37A5234B" w:rsidR="002D6E25" w:rsidRPr="00F45FB0" w:rsidRDefault="00FF2B54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7AF5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024EBFC7" w14:textId="77777777" w:rsidTr="00746344">
        <w:trPr>
          <w:trHeight w:val="699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D7BF9" w14:textId="77777777" w:rsidR="002D6E25" w:rsidRPr="00F45FB0" w:rsidRDefault="002D6E2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9CB70" w14:textId="77777777" w:rsidR="002D6E25" w:rsidRPr="00F45FB0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E4236" w14:textId="1C4ABC44" w:rsidR="002D6E25" w:rsidRPr="00F45FB0" w:rsidRDefault="00D40491" w:rsidP="00012EF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Najkasnije </w:t>
            </w:r>
            <w:r w:rsidR="001F42DB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6</w:t>
            </w:r>
            <w:r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 dana od isteka roka za podnošenje ponuda</w:t>
            </w:r>
            <w:r w:rsidR="008964C5" w:rsidRPr="00F45FB0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</w:tc>
      </w:tr>
      <w:tr w:rsidR="00746344" w:rsidRPr="00F45FB0" w14:paraId="144FADAE" w14:textId="77777777" w:rsidTr="00746344">
        <w:trPr>
          <w:trHeight w:val="238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FE493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0A67C" w14:textId="77777777" w:rsidR="002D6E25" w:rsidRPr="00F45FB0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5D8F8B0F" w14:textId="77777777" w:rsidTr="00746344">
        <w:trPr>
          <w:trHeight w:val="699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69C64" w14:textId="77777777" w:rsidR="00083F35" w:rsidRPr="00F45FB0" w:rsidRDefault="00083F3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6A7A4E" w14:textId="77777777" w:rsidR="00083F35" w:rsidRPr="00F45FB0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F4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832" w:type="dxa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AB9F9" w14:textId="77777777" w:rsidR="0060657F" w:rsidRPr="00F45FB0" w:rsidRDefault="0060657F" w:rsidP="00012EF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>Jedinica za upravljanje projektima u javnom sektoru d.o.o. Beograd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177926" w14:textId="167FC45C" w:rsidR="00820D1F" w:rsidRPr="00F45FB0" w:rsidRDefault="0025244F" w:rsidP="00A950FA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A950FA" w:rsidRPr="00D74BA2">
                <w:rPr>
                  <w:rStyle w:val="Hyperlink"/>
                  <w:rFonts w:ascii="Times New Roman" w:eastAsiaTheme="minorEastAsia" w:hAnsi="Times New Roman" w:cs="Times New Roman"/>
                  <w:sz w:val="24"/>
                  <w:lang w:val="sr-Latn-CS"/>
                </w:rPr>
                <w:t>tamara.popovic@piu.rs</w:t>
              </w:r>
            </w:hyperlink>
            <w:r w:rsidR="00820D1F" w:rsidRPr="00F45FB0">
              <w:rPr>
                <w:rFonts w:ascii="Times New Roman" w:eastAsiaTheme="minorEastAsia" w:hAnsi="Times New Roman" w:cs="Times New Roman"/>
                <w:color w:val="auto"/>
                <w:sz w:val="24"/>
                <w:lang w:val="sr-Latn-CS"/>
              </w:rPr>
              <w:t xml:space="preserve"> </w:t>
            </w:r>
          </w:p>
        </w:tc>
      </w:tr>
      <w:tr w:rsidR="00746344" w:rsidRPr="00F45FB0" w14:paraId="54EA3302" w14:textId="77777777" w:rsidTr="00746344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699A3" w14:textId="77777777" w:rsidR="002D6E25" w:rsidRPr="00F45FB0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0DE3A" w14:textId="77777777" w:rsidR="00AC50FF" w:rsidRPr="00F45FB0" w:rsidRDefault="00AC50FF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344" w:rsidRPr="00F45FB0" w14:paraId="0D59FDD5" w14:textId="77777777" w:rsidTr="00746344"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3A8B2" w14:textId="77777777" w:rsidR="002D6E25" w:rsidRPr="00F45FB0" w:rsidRDefault="002D6E25" w:rsidP="00746344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B8DC2" w14:textId="77777777" w:rsidR="002D6E25" w:rsidRPr="00F45FB0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F4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46344" w:rsidRPr="00746344" w14:paraId="4FE5FDCD" w14:textId="77777777" w:rsidTr="00746344">
        <w:trPr>
          <w:trHeight w:val="1371"/>
        </w:trPr>
        <w:tc>
          <w:tcPr>
            <w:tcW w:w="70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B8A41" w14:textId="77777777" w:rsidR="009B341F" w:rsidRPr="00F45FB0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27" w:type="dxa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3C118" w14:textId="77777777" w:rsidR="009B341F" w:rsidRPr="00F45FB0" w:rsidRDefault="00F5074E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5FB0">
              <w:rPr>
                <w:rFonts w:ascii="Times New Roman" w:hAnsi="Times New Roman" w:cs="Times New Roman"/>
                <w:sz w:val="24"/>
                <w:szCs w:val="24"/>
              </w:rPr>
              <w:t>vebsajtu</w:t>
            </w:r>
            <w:r w:rsidR="009B341F" w:rsidRPr="00F45F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D339B9F" w14:textId="23244C81" w:rsidR="009B341F" w:rsidRPr="0011675D" w:rsidRDefault="0025244F" w:rsidP="006B0C2A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3" w:history="1">
              <w:r w:rsidR="0011675D" w:rsidRPr="00F45F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http://www.coebank.org/documents/107/Procurement_Guidelines_LJhjgEt.pdf</w:t>
              </w:r>
            </w:hyperlink>
            <w:r w:rsidR="0011675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</w:tbl>
    <w:p w14:paraId="45466F8C" w14:textId="77777777" w:rsidR="002D6E25" w:rsidRPr="00746344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</w:rPr>
      </w:pPr>
    </w:p>
    <w:sectPr w:rsidR="002D6E25" w:rsidRPr="00746344" w:rsidSect="002D6E25">
      <w:footerReference w:type="default" r:id="rId14"/>
      <w:pgSz w:w="12240" w:h="15840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4A90D" w14:textId="77777777" w:rsidR="0025244F" w:rsidRDefault="0025244F" w:rsidP="00083F35">
      <w:pPr>
        <w:spacing w:after="0" w:line="240" w:lineRule="auto"/>
      </w:pPr>
      <w:r>
        <w:separator/>
      </w:r>
    </w:p>
  </w:endnote>
  <w:endnote w:type="continuationSeparator" w:id="0">
    <w:p w14:paraId="49641E5E" w14:textId="77777777" w:rsidR="0025244F" w:rsidRDefault="0025244F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14:paraId="0B02FA36" w14:textId="77777777" w:rsidTr="00332E22">
      <w:tc>
        <w:tcPr>
          <w:tcW w:w="4773" w:type="dxa"/>
          <w:shd w:val="clear" w:color="auto" w:fill="auto"/>
        </w:tcPr>
        <w:p w14:paraId="1E884412" w14:textId="4F02092F" w:rsidR="00083F35" w:rsidRPr="00F5074E" w:rsidRDefault="004F2BFF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>
            <w:rPr>
              <w:rFonts w:ascii="Roboto" w:hAnsi="Roboto"/>
              <w:sz w:val="20"/>
              <w:szCs w:val="20"/>
              <w:lang w:val="sr-Latn-CS"/>
            </w:rPr>
            <w:t>2021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14:paraId="6CA82E3E" w14:textId="77777777"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E12CB3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E12CB3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D71B20">
            <w:rPr>
              <w:rFonts w:ascii="Roboto" w:hAnsi="Roboto"/>
              <w:noProof/>
              <w:sz w:val="20"/>
              <w:szCs w:val="20"/>
              <w:lang w:val="sr-Latn-CS"/>
            </w:rPr>
            <w:t>1</w:t>
          </w:r>
          <w:r w:rsidR="00E12CB3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14:paraId="0C459C7F" w14:textId="77777777" w:rsidR="00083F35" w:rsidRPr="00F5074E" w:rsidRDefault="00083F35" w:rsidP="00083F35">
    <w:pPr>
      <w:pStyle w:val="Footer"/>
      <w:rPr>
        <w:lang w:val="sr-Latn-CS"/>
      </w:rPr>
    </w:pPr>
  </w:p>
  <w:p w14:paraId="6591746C" w14:textId="77777777" w:rsidR="00083F35" w:rsidRDefault="00083F35" w:rsidP="00083F35">
    <w:pPr>
      <w:pStyle w:val="Footer"/>
    </w:pPr>
  </w:p>
  <w:p w14:paraId="182C4D98" w14:textId="77777777" w:rsidR="00083F35" w:rsidRDefault="00083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F37E1F" w14:textId="77777777" w:rsidR="0025244F" w:rsidRDefault="0025244F" w:rsidP="00083F35">
      <w:pPr>
        <w:spacing w:after="0" w:line="240" w:lineRule="auto"/>
      </w:pPr>
      <w:r>
        <w:separator/>
      </w:r>
    </w:p>
  </w:footnote>
  <w:footnote w:type="continuationSeparator" w:id="0">
    <w:p w14:paraId="6060C2D4" w14:textId="77777777" w:rsidR="0025244F" w:rsidRDefault="0025244F" w:rsidP="00083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53750"/>
    <w:multiLevelType w:val="hybridMultilevel"/>
    <w:tmpl w:val="93E062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7E1"/>
    <w:multiLevelType w:val="hybridMultilevel"/>
    <w:tmpl w:val="A1BAE258"/>
    <w:lvl w:ilvl="0" w:tplc="CFAC713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E5112E"/>
    <w:multiLevelType w:val="hybridMultilevel"/>
    <w:tmpl w:val="F3F21B24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14F"/>
    <w:multiLevelType w:val="hybridMultilevel"/>
    <w:tmpl w:val="6CB83F8A"/>
    <w:lvl w:ilvl="0" w:tplc="00A628B0">
      <w:start w:val="1"/>
      <w:numFmt w:val="lowerLetter"/>
      <w:lvlText w:val="%1)"/>
      <w:lvlJc w:val="left"/>
      <w:pPr>
        <w:ind w:left="6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00" w:hanging="360"/>
      </w:pPr>
    </w:lvl>
    <w:lvl w:ilvl="2" w:tplc="241A001B" w:tentative="1">
      <w:start w:val="1"/>
      <w:numFmt w:val="lowerRoman"/>
      <w:lvlText w:val="%3."/>
      <w:lvlJc w:val="right"/>
      <w:pPr>
        <w:ind w:left="2120" w:hanging="180"/>
      </w:pPr>
    </w:lvl>
    <w:lvl w:ilvl="3" w:tplc="241A000F" w:tentative="1">
      <w:start w:val="1"/>
      <w:numFmt w:val="decimal"/>
      <w:lvlText w:val="%4."/>
      <w:lvlJc w:val="left"/>
      <w:pPr>
        <w:ind w:left="2840" w:hanging="360"/>
      </w:pPr>
    </w:lvl>
    <w:lvl w:ilvl="4" w:tplc="241A0019" w:tentative="1">
      <w:start w:val="1"/>
      <w:numFmt w:val="lowerLetter"/>
      <w:lvlText w:val="%5."/>
      <w:lvlJc w:val="left"/>
      <w:pPr>
        <w:ind w:left="3560" w:hanging="360"/>
      </w:pPr>
    </w:lvl>
    <w:lvl w:ilvl="5" w:tplc="241A001B" w:tentative="1">
      <w:start w:val="1"/>
      <w:numFmt w:val="lowerRoman"/>
      <w:lvlText w:val="%6."/>
      <w:lvlJc w:val="right"/>
      <w:pPr>
        <w:ind w:left="4280" w:hanging="180"/>
      </w:pPr>
    </w:lvl>
    <w:lvl w:ilvl="6" w:tplc="241A000F" w:tentative="1">
      <w:start w:val="1"/>
      <w:numFmt w:val="decimal"/>
      <w:lvlText w:val="%7."/>
      <w:lvlJc w:val="left"/>
      <w:pPr>
        <w:ind w:left="5000" w:hanging="360"/>
      </w:pPr>
    </w:lvl>
    <w:lvl w:ilvl="7" w:tplc="241A0019" w:tentative="1">
      <w:start w:val="1"/>
      <w:numFmt w:val="lowerLetter"/>
      <w:lvlText w:val="%8."/>
      <w:lvlJc w:val="left"/>
      <w:pPr>
        <w:ind w:left="5720" w:hanging="360"/>
      </w:pPr>
    </w:lvl>
    <w:lvl w:ilvl="8" w:tplc="241A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5" w15:restartNumberingAfterBreak="0">
    <w:nsid w:val="14DF5D71"/>
    <w:multiLevelType w:val="multilevel"/>
    <w:tmpl w:val="100271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00B2E"/>
    <w:multiLevelType w:val="multilevel"/>
    <w:tmpl w:val="040B001F"/>
    <w:numStyleLink w:val="Style1"/>
  </w:abstractNum>
  <w:abstractNum w:abstractNumId="7" w15:restartNumberingAfterBreak="0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B217D"/>
    <w:multiLevelType w:val="hybridMultilevel"/>
    <w:tmpl w:val="EF9AA6A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A10BC"/>
    <w:multiLevelType w:val="hybridMultilevel"/>
    <w:tmpl w:val="1556C77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867375"/>
    <w:multiLevelType w:val="hybridMultilevel"/>
    <w:tmpl w:val="2BA6E9A2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3065" w:hanging="360"/>
      </w:p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 w15:restartNumberingAfterBreak="0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622CB2"/>
    <w:multiLevelType w:val="hybridMultilevel"/>
    <w:tmpl w:val="3D100260"/>
    <w:lvl w:ilvl="0" w:tplc="7FDEF8B8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115" w:hanging="360"/>
      </w:pPr>
    </w:lvl>
    <w:lvl w:ilvl="2" w:tplc="241A001B" w:tentative="1">
      <w:start w:val="1"/>
      <w:numFmt w:val="lowerRoman"/>
      <w:lvlText w:val="%3."/>
      <w:lvlJc w:val="right"/>
      <w:pPr>
        <w:ind w:left="1835" w:hanging="180"/>
      </w:pPr>
    </w:lvl>
    <w:lvl w:ilvl="3" w:tplc="241A000F" w:tentative="1">
      <w:start w:val="1"/>
      <w:numFmt w:val="decimal"/>
      <w:lvlText w:val="%4."/>
      <w:lvlJc w:val="left"/>
      <w:pPr>
        <w:ind w:left="2555" w:hanging="360"/>
      </w:pPr>
    </w:lvl>
    <w:lvl w:ilvl="4" w:tplc="241A0019" w:tentative="1">
      <w:start w:val="1"/>
      <w:numFmt w:val="lowerLetter"/>
      <w:lvlText w:val="%5."/>
      <w:lvlJc w:val="left"/>
      <w:pPr>
        <w:ind w:left="3275" w:hanging="360"/>
      </w:pPr>
    </w:lvl>
    <w:lvl w:ilvl="5" w:tplc="241A001B" w:tentative="1">
      <w:start w:val="1"/>
      <w:numFmt w:val="lowerRoman"/>
      <w:lvlText w:val="%6."/>
      <w:lvlJc w:val="right"/>
      <w:pPr>
        <w:ind w:left="3995" w:hanging="180"/>
      </w:pPr>
    </w:lvl>
    <w:lvl w:ilvl="6" w:tplc="241A000F" w:tentative="1">
      <w:start w:val="1"/>
      <w:numFmt w:val="decimal"/>
      <w:lvlText w:val="%7."/>
      <w:lvlJc w:val="left"/>
      <w:pPr>
        <w:ind w:left="4715" w:hanging="360"/>
      </w:pPr>
    </w:lvl>
    <w:lvl w:ilvl="7" w:tplc="241A0019" w:tentative="1">
      <w:start w:val="1"/>
      <w:numFmt w:val="lowerLetter"/>
      <w:lvlText w:val="%8."/>
      <w:lvlJc w:val="left"/>
      <w:pPr>
        <w:ind w:left="5435" w:hanging="360"/>
      </w:pPr>
    </w:lvl>
    <w:lvl w:ilvl="8" w:tplc="241A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7" w15:restartNumberingAfterBreak="0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61A6A"/>
    <w:multiLevelType w:val="hybridMultilevel"/>
    <w:tmpl w:val="FBA23BCC"/>
    <w:lvl w:ilvl="0" w:tplc="43080934">
      <w:start w:val="1"/>
      <w:numFmt w:val="lowerLetter"/>
      <w:lvlText w:val="%1)"/>
      <w:lvlJc w:val="left"/>
      <w:pPr>
        <w:ind w:left="2345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 w15:restartNumberingAfterBreak="0">
    <w:nsid w:val="61FC3CFA"/>
    <w:multiLevelType w:val="hybridMultilevel"/>
    <w:tmpl w:val="E35CF09E"/>
    <w:lvl w:ilvl="0" w:tplc="9BA8FF68">
      <w:start w:val="1"/>
      <w:numFmt w:val="lowerLetter"/>
      <w:lvlText w:val="%1)"/>
      <w:lvlJc w:val="left"/>
      <w:pPr>
        <w:ind w:left="2345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785" w:hanging="180"/>
      </w:pPr>
    </w:lvl>
    <w:lvl w:ilvl="3" w:tplc="0809000F" w:tentative="1">
      <w:start w:val="1"/>
      <w:numFmt w:val="decimal"/>
      <w:lvlText w:val="%4."/>
      <w:lvlJc w:val="left"/>
      <w:pPr>
        <w:ind w:left="4505" w:hanging="360"/>
      </w:pPr>
    </w:lvl>
    <w:lvl w:ilvl="4" w:tplc="08090019" w:tentative="1">
      <w:start w:val="1"/>
      <w:numFmt w:val="lowerLetter"/>
      <w:lvlText w:val="%5."/>
      <w:lvlJc w:val="left"/>
      <w:pPr>
        <w:ind w:left="5225" w:hanging="360"/>
      </w:pPr>
    </w:lvl>
    <w:lvl w:ilvl="5" w:tplc="0809001B" w:tentative="1">
      <w:start w:val="1"/>
      <w:numFmt w:val="lowerRoman"/>
      <w:lvlText w:val="%6."/>
      <w:lvlJc w:val="right"/>
      <w:pPr>
        <w:ind w:left="5945" w:hanging="180"/>
      </w:pPr>
    </w:lvl>
    <w:lvl w:ilvl="6" w:tplc="0809000F" w:tentative="1">
      <w:start w:val="1"/>
      <w:numFmt w:val="decimal"/>
      <w:lvlText w:val="%7."/>
      <w:lvlJc w:val="left"/>
      <w:pPr>
        <w:ind w:left="6665" w:hanging="360"/>
      </w:pPr>
    </w:lvl>
    <w:lvl w:ilvl="7" w:tplc="08090019" w:tentative="1">
      <w:start w:val="1"/>
      <w:numFmt w:val="lowerLetter"/>
      <w:lvlText w:val="%8."/>
      <w:lvlJc w:val="left"/>
      <w:pPr>
        <w:ind w:left="7385" w:hanging="360"/>
      </w:pPr>
    </w:lvl>
    <w:lvl w:ilvl="8" w:tplc="08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0" w15:restartNumberingAfterBreak="0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6D7F7E55"/>
    <w:multiLevelType w:val="hybridMultilevel"/>
    <w:tmpl w:val="728CF60E"/>
    <w:lvl w:ilvl="0" w:tplc="F7367D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10498"/>
    <w:multiLevelType w:val="hybridMultilevel"/>
    <w:tmpl w:val="AF5867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89181F"/>
    <w:multiLevelType w:val="hybridMultilevel"/>
    <w:tmpl w:val="290C2260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20"/>
  </w:num>
  <w:num w:numId="5">
    <w:abstractNumId w:val="10"/>
  </w:num>
  <w:num w:numId="6">
    <w:abstractNumId w:val="13"/>
  </w:num>
  <w:num w:numId="7">
    <w:abstractNumId w:val="17"/>
  </w:num>
  <w:num w:numId="8">
    <w:abstractNumId w:val="15"/>
  </w:num>
  <w:num w:numId="9">
    <w:abstractNumId w:val="6"/>
    <w:lvlOverride w:ilvl="0">
      <w:lvl w:ilvl="0">
        <w:start w:val="3"/>
        <w:numFmt w:val="decimal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06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4190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7"/>
  </w:num>
  <w:num w:numId="11">
    <w:abstractNumId w:val="2"/>
  </w:num>
  <w:num w:numId="12">
    <w:abstractNumId w:val="1"/>
  </w:num>
  <w:num w:numId="13">
    <w:abstractNumId w:val="23"/>
  </w:num>
  <w:num w:numId="14">
    <w:abstractNumId w:val="11"/>
  </w:num>
  <w:num w:numId="15">
    <w:abstractNumId w:val="22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9"/>
  </w:num>
  <w:num w:numId="20">
    <w:abstractNumId w:val="18"/>
  </w:num>
  <w:num w:numId="21">
    <w:abstractNumId w:val="6"/>
  </w:num>
  <w:num w:numId="22">
    <w:abstractNumId w:val="0"/>
  </w:num>
  <w:num w:numId="23">
    <w:abstractNumId w:val="9"/>
  </w:num>
  <w:num w:numId="24">
    <w:abstractNumId w:val="4"/>
  </w:num>
  <w:num w:numId="25">
    <w:abstractNumId w:val="21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E25"/>
    <w:rsid w:val="000019A6"/>
    <w:rsid w:val="00001FD9"/>
    <w:rsid w:val="0000487C"/>
    <w:rsid w:val="00005BE2"/>
    <w:rsid w:val="00012EFA"/>
    <w:rsid w:val="00014289"/>
    <w:rsid w:val="00021B6A"/>
    <w:rsid w:val="00022D39"/>
    <w:rsid w:val="00030C94"/>
    <w:rsid w:val="0003262E"/>
    <w:rsid w:val="00036601"/>
    <w:rsid w:val="00040040"/>
    <w:rsid w:val="00040964"/>
    <w:rsid w:val="000422AE"/>
    <w:rsid w:val="00042FA2"/>
    <w:rsid w:val="000502FB"/>
    <w:rsid w:val="000515E2"/>
    <w:rsid w:val="00051B03"/>
    <w:rsid w:val="000532DB"/>
    <w:rsid w:val="00055D3F"/>
    <w:rsid w:val="0006082D"/>
    <w:rsid w:val="000616D8"/>
    <w:rsid w:val="0006375A"/>
    <w:rsid w:val="00063A1D"/>
    <w:rsid w:val="00063C93"/>
    <w:rsid w:val="00063ECC"/>
    <w:rsid w:val="00067881"/>
    <w:rsid w:val="00072C19"/>
    <w:rsid w:val="00076121"/>
    <w:rsid w:val="000769CD"/>
    <w:rsid w:val="00081FA7"/>
    <w:rsid w:val="00083F35"/>
    <w:rsid w:val="000952E6"/>
    <w:rsid w:val="00095EBE"/>
    <w:rsid w:val="000A1FA5"/>
    <w:rsid w:val="000A2740"/>
    <w:rsid w:val="000A4162"/>
    <w:rsid w:val="000A586B"/>
    <w:rsid w:val="000B16FB"/>
    <w:rsid w:val="000B50C2"/>
    <w:rsid w:val="000C1AEB"/>
    <w:rsid w:val="000C1E74"/>
    <w:rsid w:val="000C2195"/>
    <w:rsid w:val="000C23AA"/>
    <w:rsid w:val="000C24E9"/>
    <w:rsid w:val="000C46FC"/>
    <w:rsid w:val="000D07CF"/>
    <w:rsid w:val="000D0D50"/>
    <w:rsid w:val="000D591E"/>
    <w:rsid w:val="000D6EF0"/>
    <w:rsid w:val="000E0085"/>
    <w:rsid w:val="000E113A"/>
    <w:rsid w:val="000E259C"/>
    <w:rsid w:val="000E2D97"/>
    <w:rsid w:val="000E53D9"/>
    <w:rsid w:val="000E749A"/>
    <w:rsid w:val="000F02B2"/>
    <w:rsid w:val="000F0DDB"/>
    <w:rsid w:val="000F2A3F"/>
    <w:rsid w:val="00106F51"/>
    <w:rsid w:val="001079A0"/>
    <w:rsid w:val="00110F4F"/>
    <w:rsid w:val="001131A3"/>
    <w:rsid w:val="0011675D"/>
    <w:rsid w:val="00121C83"/>
    <w:rsid w:val="0012515E"/>
    <w:rsid w:val="00126EF2"/>
    <w:rsid w:val="001311AB"/>
    <w:rsid w:val="0013478F"/>
    <w:rsid w:val="00135790"/>
    <w:rsid w:val="00136148"/>
    <w:rsid w:val="0014117B"/>
    <w:rsid w:val="001411E1"/>
    <w:rsid w:val="00141DCD"/>
    <w:rsid w:val="00145648"/>
    <w:rsid w:val="00147853"/>
    <w:rsid w:val="00147F26"/>
    <w:rsid w:val="00150F5E"/>
    <w:rsid w:val="001537F3"/>
    <w:rsid w:val="00153F08"/>
    <w:rsid w:val="00155176"/>
    <w:rsid w:val="001572BB"/>
    <w:rsid w:val="00160F87"/>
    <w:rsid w:val="00166BE7"/>
    <w:rsid w:val="00167A2E"/>
    <w:rsid w:val="00171352"/>
    <w:rsid w:val="00174B29"/>
    <w:rsid w:val="001758B1"/>
    <w:rsid w:val="001907ED"/>
    <w:rsid w:val="00195447"/>
    <w:rsid w:val="00197807"/>
    <w:rsid w:val="001B33F4"/>
    <w:rsid w:val="001B3EC5"/>
    <w:rsid w:val="001B4C3F"/>
    <w:rsid w:val="001C18B2"/>
    <w:rsid w:val="001D237D"/>
    <w:rsid w:val="001D3656"/>
    <w:rsid w:val="001D39CE"/>
    <w:rsid w:val="001D59C7"/>
    <w:rsid w:val="001D635D"/>
    <w:rsid w:val="001D742C"/>
    <w:rsid w:val="001E4933"/>
    <w:rsid w:val="001E6527"/>
    <w:rsid w:val="001F1AB0"/>
    <w:rsid w:val="001F2E52"/>
    <w:rsid w:val="001F42DB"/>
    <w:rsid w:val="001F4E83"/>
    <w:rsid w:val="001F550B"/>
    <w:rsid w:val="0020289F"/>
    <w:rsid w:val="002107BE"/>
    <w:rsid w:val="00215659"/>
    <w:rsid w:val="00217AAB"/>
    <w:rsid w:val="00220C98"/>
    <w:rsid w:val="00221593"/>
    <w:rsid w:val="00230193"/>
    <w:rsid w:val="002311EC"/>
    <w:rsid w:val="002324D3"/>
    <w:rsid w:val="00235149"/>
    <w:rsid w:val="00240CE7"/>
    <w:rsid w:val="00243D79"/>
    <w:rsid w:val="0024580B"/>
    <w:rsid w:val="00246465"/>
    <w:rsid w:val="00246CA2"/>
    <w:rsid w:val="00246EA0"/>
    <w:rsid w:val="00250454"/>
    <w:rsid w:val="00250746"/>
    <w:rsid w:val="00250D6E"/>
    <w:rsid w:val="002511E1"/>
    <w:rsid w:val="002520DD"/>
    <w:rsid w:val="0025244F"/>
    <w:rsid w:val="00262C9C"/>
    <w:rsid w:val="00264C67"/>
    <w:rsid w:val="00266CF2"/>
    <w:rsid w:val="0027244B"/>
    <w:rsid w:val="0027491B"/>
    <w:rsid w:val="00274922"/>
    <w:rsid w:val="0027644A"/>
    <w:rsid w:val="002777EE"/>
    <w:rsid w:val="00277F69"/>
    <w:rsid w:val="0028066C"/>
    <w:rsid w:val="00281E01"/>
    <w:rsid w:val="00284980"/>
    <w:rsid w:val="002A191C"/>
    <w:rsid w:val="002A271B"/>
    <w:rsid w:val="002A4533"/>
    <w:rsid w:val="002B20F4"/>
    <w:rsid w:val="002B284C"/>
    <w:rsid w:val="002B5FC5"/>
    <w:rsid w:val="002B65C9"/>
    <w:rsid w:val="002B699C"/>
    <w:rsid w:val="002B785D"/>
    <w:rsid w:val="002D4481"/>
    <w:rsid w:val="002D6AD7"/>
    <w:rsid w:val="002D6E25"/>
    <w:rsid w:val="002D71FC"/>
    <w:rsid w:val="002E5C66"/>
    <w:rsid w:val="002F0581"/>
    <w:rsid w:val="002F55CB"/>
    <w:rsid w:val="00306A8F"/>
    <w:rsid w:val="00310452"/>
    <w:rsid w:val="00311F99"/>
    <w:rsid w:val="00320CC0"/>
    <w:rsid w:val="00320EEF"/>
    <w:rsid w:val="00327C06"/>
    <w:rsid w:val="00334824"/>
    <w:rsid w:val="003359D3"/>
    <w:rsid w:val="003375D8"/>
    <w:rsid w:val="003376B4"/>
    <w:rsid w:val="00345CC7"/>
    <w:rsid w:val="003473FD"/>
    <w:rsid w:val="00351D26"/>
    <w:rsid w:val="00352B75"/>
    <w:rsid w:val="00353AD4"/>
    <w:rsid w:val="0036199C"/>
    <w:rsid w:val="00362F64"/>
    <w:rsid w:val="00371CC1"/>
    <w:rsid w:val="003779ED"/>
    <w:rsid w:val="00377A3A"/>
    <w:rsid w:val="00380CD7"/>
    <w:rsid w:val="00383AC7"/>
    <w:rsid w:val="00383E84"/>
    <w:rsid w:val="0039147E"/>
    <w:rsid w:val="00394072"/>
    <w:rsid w:val="00394EDE"/>
    <w:rsid w:val="00394F6F"/>
    <w:rsid w:val="0039514C"/>
    <w:rsid w:val="003A243E"/>
    <w:rsid w:val="003A47F9"/>
    <w:rsid w:val="003A5C58"/>
    <w:rsid w:val="003A675F"/>
    <w:rsid w:val="003A734A"/>
    <w:rsid w:val="003C2591"/>
    <w:rsid w:val="003C35A4"/>
    <w:rsid w:val="003C3679"/>
    <w:rsid w:val="003D0A1F"/>
    <w:rsid w:val="003D2651"/>
    <w:rsid w:val="003E0783"/>
    <w:rsid w:val="003E57A4"/>
    <w:rsid w:val="003E746C"/>
    <w:rsid w:val="003E7496"/>
    <w:rsid w:val="003F0D07"/>
    <w:rsid w:val="003F4F9F"/>
    <w:rsid w:val="003F689A"/>
    <w:rsid w:val="004075D3"/>
    <w:rsid w:val="004127E7"/>
    <w:rsid w:val="00412946"/>
    <w:rsid w:val="00412F3F"/>
    <w:rsid w:val="00415392"/>
    <w:rsid w:val="00415702"/>
    <w:rsid w:val="004168A1"/>
    <w:rsid w:val="0041755B"/>
    <w:rsid w:val="00421C6D"/>
    <w:rsid w:val="00422234"/>
    <w:rsid w:val="00425D02"/>
    <w:rsid w:val="004306A2"/>
    <w:rsid w:val="00431A97"/>
    <w:rsid w:val="004356F7"/>
    <w:rsid w:val="00436BFB"/>
    <w:rsid w:val="00436FEA"/>
    <w:rsid w:val="00437D8B"/>
    <w:rsid w:val="00441F0A"/>
    <w:rsid w:val="00442183"/>
    <w:rsid w:val="0044518B"/>
    <w:rsid w:val="00445C1E"/>
    <w:rsid w:val="004511C2"/>
    <w:rsid w:val="00452183"/>
    <w:rsid w:val="00455F74"/>
    <w:rsid w:val="00456958"/>
    <w:rsid w:val="004577E5"/>
    <w:rsid w:val="00460C34"/>
    <w:rsid w:val="00461309"/>
    <w:rsid w:val="00463902"/>
    <w:rsid w:val="00481B71"/>
    <w:rsid w:val="00484E49"/>
    <w:rsid w:val="0049485A"/>
    <w:rsid w:val="0049529A"/>
    <w:rsid w:val="00497AA2"/>
    <w:rsid w:val="004A080A"/>
    <w:rsid w:val="004A083A"/>
    <w:rsid w:val="004A1835"/>
    <w:rsid w:val="004A689C"/>
    <w:rsid w:val="004A6FF8"/>
    <w:rsid w:val="004C0B1F"/>
    <w:rsid w:val="004C12FB"/>
    <w:rsid w:val="004C4789"/>
    <w:rsid w:val="004C73D4"/>
    <w:rsid w:val="004D477E"/>
    <w:rsid w:val="004D5884"/>
    <w:rsid w:val="004D5FE8"/>
    <w:rsid w:val="004E172E"/>
    <w:rsid w:val="004E29A9"/>
    <w:rsid w:val="004E301D"/>
    <w:rsid w:val="004E343F"/>
    <w:rsid w:val="004E4DE2"/>
    <w:rsid w:val="004E72C9"/>
    <w:rsid w:val="004F200F"/>
    <w:rsid w:val="004F2601"/>
    <w:rsid w:val="004F2BFF"/>
    <w:rsid w:val="004F33DB"/>
    <w:rsid w:val="004F7053"/>
    <w:rsid w:val="004F7C39"/>
    <w:rsid w:val="00501254"/>
    <w:rsid w:val="005028A2"/>
    <w:rsid w:val="00503BF8"/>
    <w:rsid w:val="00507486"/>
    <w:rsid w:val="005074C4"/>
    <w:rsid w:val="00511BA4"/>
    <w:rsid w:val="00514B96"/>
    <w:rsid w:val="00517365"/>
    <w:rsid w:val="00521E5B"/>
    <w:rsid w:val="00527DE7"/>
    <w:rsid w:val="0054077C"/>
    <w:rsid w:val="00540A9C"/>
    <w:rsid w:val="00542712"/>
    <w:rsid w:val="00544489"/>
    <w:rsid w:val="00547E70"/>
    <w:rsid w:val="005515B7"/>
    <w:rsid w:val="0055433D"/>
    <w:rsid w:val="0056358B"/>
    <w:rsid w:val="0056767C"/>
    <w:rsid w:val="005678A9"/>
    <w:rsid w:val="00571F29"/>
    <w:rsid w:val="005758C2"/>
    <w:rsid w:val="00576D38"/>
    <w:rsid w:val="00583EC3"/>
    <w:rsid w:val="00586017"/>
    <w:rsid w:val="005866EE"/>
    <w:rsid w:val="00590E10"/>
    <w:rsid w:val="0059284E"/>
    <w:rsid w:val="005957B0"/>
    <w:rsid w:val="00597C24"/>
    <w:rsid w:val="005A043C"/>
    <w:rsid w:val="005A22DB"/>
    <w:rsid w:val="005A2AB8"/>
    <w:rsid w:val="005B760E"/>
    <w:rsid w:val="005F3EF3"/>
    <w:rsid w:val="005F6244"/>
    <w:rsid w:val="006023AF"/>
    <w:rsid w:val="00603A15"/>
    <w:rsid w:val="0060657F"/>
    <w:rsid w:val="00612C65"/>
    <w:rsid w:val="0061319B"/>
    <w:rsid w:val="00614871"/>
    <w:rsid w:val="00621E23"/>
    <w:rsid w:val="00623D43"/>
    <w:rsid w:val="0062567A"/>
    <w:rsid w:val="00627C47"/>
    <w:rsid w:val="00632DD3"/>
    <w:rsid w:val="00633401"/>
    <w:rsid w:val="00643F81"/>
    <w:rsid w:val="0064408D"/>
    <w:rsid w:val="00645B25"/>
    <w:rsid w:val="0064757B"/>
    <w:rsid w:val="00650894"/>
    <w:rsid w:val="00651888"/>
    <w:rsid w:val="00655C1E"/>
    <w:rsid w:val="00660953"/>
    <w:rsid w:val="006655D3"/>
    <w:rsid w:val="00673AC9"/>
    <w:rsid w:val="0067612C"/>
    <w:rsid w:val="006768BA"/>
    <w:rsid w:val="00677E0A"/>
    <w:rsid w:val="00687AC1"/>
    <w:rsid w:val="00687B7F"/>
    <w:rsid w:val="006958AB"/>
    <w:rsid w:val="006A3580"/>
    <w:rsid w:val="006A3DB2"/>
    <w:rsid w:val="006A5600"/>
    <w:rsid w:val="006B0134"/>
    <w:rsid w:val="006B2C4B"/>
    <w:rsid w:val="006B30EC"/>
    <w:rsid w:val="006B477E"/>
    <w:rsid w:val="006C2566"/>
    <w:rsid w:val="006C4D30"/>
    <w:rsid w:val="006C66D8"/>
    <w:rsid w:val="006D3B44"/>
    <w:rsid w:val="006E2C29"/>
    <w:rsid w:val="006E2D1F"/>
    <w:rsid w:val="006E494D"/>
    <w:rsid w:val="006E513D"/>
    <w:rsid w:val="006E5229"/>
    <w:rsid w:val="006E5DB6"/>
    <w:rsid w:val="006E69D8"/>
    <w:rsid w:val="006F117E"/>
    <w:rsid w:val="006F2451"/>
    <w:rsid w:val="006F3B9B"/>
    <w:rsid w:val="006F4866"/>
    <w:rsid w:val="006F5D9D"/>
    <w:rsid w:val="006F6407"/>
    <w:rsid w:val="0070276D"/>
    <w:rsid w:val="00702D12"/>
    <w:rsid w:val="007048E2"/>
    <w:rsid w:val="007060FF"/>
    <w:rsid w:val="00706C8B"/>
    <w:rsid w:val="007109EF"/>
    <w:rsid w:val="0071268E"/>
    <w:rsid w:val="007146FA"/>
    <w:rsid w:val="007168DF"/>
    <w:rsid w:val="007171D5"/>
    <w:rsid w:val="0071747C"/>
    <w:rsid w:val="00724B7D"/>
    <w:rsid w:val="0072500A"/>
    <w:rsid w:val="00731D5D"/>
    <w:rsid w:val="00732D76"/>
    <w:rsid w:val="00736A6D"/>
    <w:rsid w:val="00736B96"/>
    <w:rsid w:val="00741D33"/>
    <w:rsid w:val="00744858"/>
    <w:rsid w:val="00746344"/>
    <w:rsid w:val="0074669E"/>
    <w:rsid w:val="007466C5"/>
    <w:rsid w:val="0075079A"/>
    <w:rsid w:val="00764FE3"/>
    <w:rsid w:val="00765C47"/>
    <w:rsid w:val="007705BB"/>
    <w:rsid w:val="00775B43"/>
    <w:rsid w:val="00783DFB"/>
    <w:rsid w:val="00785997"/>
    <w:rsid w:val="00785A94"/>
    <w:rsid w:val="0078794D"/>
    <w:rsid w:val="00790B38"/>
    <w:rsid w:val="00794440"/>
    <w:rsid w:val="007A03A9"/>
    <w:rsid w:val="007A281B"/>
    <w:rsid w:val="007A2E5C"/>
    <w:rsid w:val="007A45EA"/>
    <w:rsid w:val="007A5FF3"/>
    <w:rsid w:val="007A6B06"/>
    <w:rsid w:val="007B13CB"/>
    <w:rsid w:val="007B2F5F"/>
    <w:rsid w:val="007B5377"/>
    <w:rsid w:val="007B61F7"/>
    <w:rsid w:val="007C17BD"/>
    <w:rsid w:val="007C3F5A"/>
    <w:rsid w:val="007C7D93"/>
    <w:rsid w:val="007D301C"/>
    <w:rsid w:val="007E34F5"/>
    <w:rsid w:val="007E3A0A"/>
    <w:rsid w:val="007F0F3B"/>
    <w:rsid w:val="007F71BC"/>
    <w:rsid w:val="00800930"/>
    <w:rsid w:val="008010E7"/>
    <w:rsid w:val="00803D57"/>
    <w:rsid w:val="00805A11"/>
    <w:rsid w:val="00811BB8"/>
    <w:rsid w:val="00820D1F"/>
    <w:rsid w:val="008221F7"/>
    <w:rsid w:val="00822C17"/>
    <w:rsid w:val="008263C1"/>
    <w:rsid w:val="00834FBA"/>
    <w:rsid w:val="0083635E"/>
    <w:rsid w:val="0084337A"/>
    <w:rsid w:val="00844110"/>
    <w:rsid w:val="00845906"/>
    <w:rsid w:val="00845A22"/>
    <w:rsid w:val="00847208"/>
    <w:rsid w:val="008473F8"/>
    <w:rsid w:val="00866881"/>
    <w:rsid w:val="00870D84"/>
    <w:rsid w:val="008727AE"/>
    <w:rsid w:val="00873736"/>
    <w:rsid w:val="0087516A"/>
    <w:rsid w:val="00880FFE"/>
    <w:rsid w:val="0088741C"/>
    <w:rsid w:val="008910BA"/>
    <w:rsid w:val="008964C5"/>
    <w:rsid w:val="00897454"/>
    <w:rsid w:val="008A445F"/>
    <w:rsid w:val="008A52B3"/>
    <w:rsid w:val="008A5B70"/>
    <w:rsid w:val="008A6681"/>
    <w:rsid w:val="008B3F47"/>
    <w:rsid w:val="008C15E8"/>
    <w:rsid w:val="008C7F64"/>
    <w:rsid w:val="008D3F78"/>
    <w:rsid w:val="008E06F5"/>
    <w:rsid w:val="008E4C54"/>
    <w:rsid w:val="008F59E9"/>
    <w:rsid w:val="008F6084"/>
    <w:rsid w:val="008F62E9"/>
    <w:rsid w:val="008F774F"/>
    <w:rsid w:val="00902D02"/>
    <w:rsid w:val="00907802"/>
    <w:rsid w:val="00910833"/>
    <w:rsid w:val="009135C3"/>
    <w:rsid w:val="00913808"/>
    <w:rsid w:val="00920B60"/>
    <w:rsid w:val="00920D91"/>
    <w:rsid w:val="0092105A"/>
    <w:rsid w:val="00930496"/>
    <w:rsid w:val="00930F7A"/>
    <w:rsid w:val="00936C9E"/>
    <w:rsid w:val="00940C24"/>
    <w:rsid w:val="009432B5"/>
    <w:rsid w:val="009465CD"/>
    <w:rsid w:val="00946D3F"/>
    <w:rsid w:val="00947ACB"/>
    <w:rsid w:val="00951CE6"/>
    <w:rsid w:val="0095334B"/>
    <w:rsid w:val="00955C93"/>
    <w:rsid w:val="00962EBD"/>
    <w:rsid w:val="00967FCF"/>
    <w:rsid w:val="00970D81"/>
    <w:rsid w:val="00974A37"/>
    <w:rsid w:val="0098176D"/>
    <w:rsid w:val="009836CF"/>
    <w:rsid w:val="009870ED"/>
    <w:rsid w:val="00992086"/>
    <w:rsid w:val="0099494D"/>
    <w:rsid w:val="009A04B1"/>
    <w:rsid w:val="009A158C"/>
    <w:rsid w:val="009A6397"/>
    <w:rsid w:val="009A6B62"/>
    <w:rsid w:val="009B341F"/>
    <w:rsid w:val="009B3CCA"/>
    <w:rsid w:val="009B7889"/>
    <w:rsid w:val="009C3B32"/>
    <w:rsid w:val="009C6217"/>
    <w:rsid w:val="009D2987"/>
    <w:rsid w:val="009D29C6"/>
    <w:rsid w:val="009D3801"/>
    <w:rsid w:val="009D4E38"/>
    <w:rsid w:val="009D65B4"/>
    <w:rsid w:val="009E1108"/>
    <w:rsid w:val="009E1803"/>
    <w:rsid w:val="009E33F0"/>
    <w:rsid w:val="009E7896"/>
    <w:rsid w:val="009F04D0"/>
    <w:rsid w:val="009F0733"/>
    <w:rsid w:val="009F5074"/>
    <w:rsid w:val="009F6921"/>
    <w:rsid w:val="00A00CB2"/>
    <w:rsid w:val="00A15CDA"/>
    <w:rsid w:val="00A16DBC"/>
    <w:rsid w:val="00A25855"/>
    <w:rsid w:val="00A26F5B"/>
    <w:rsid w:val="00A335A3"/>
    <w:rsid w:val="00A35F62"/>
    <w:rsid w:val="00A3646D"/>
    <w:rsid w:val="00A43DE3"/>
    <w:rsid w:val="00A443AD"/>
    <w:rsid w:val="00A44BE5"/>
    <w:rsid w:val="00A4704A"/>
    <w:rsid w:val="00A506F5"/>
    <w:rsid w:val="00A60975"/>
    <w:rsid w:val="00A628B6"/>
    <w:rsid w:val="00A643F6"/>
    <w:rsid w:val="00A65668"/>
    <w:rsid w:val="00A70E98"/>
    <w:rsid w:val="00A73099"/>
    <w:rsid w:val="00A74CAB"/>
    <w:rsid w:val="00A80ADB"/>
    <w:rsid w:val="00A82F9F"/>
    <w:rsid w:val="00A83DF5"/>
    <w:rsid w:val="00A90826"/>
    <w:rsid w:val="00A92081"/>
    <w:rsid w:val="00A93956"/>
    <w:rsid w:val="00A950FA"/>
    <w:rsid w:val="00A97D49"/>
    <w:rsid w:val="00AA17D7"/>
    <w:rsid w:val="00AB2B7D"/>
    <w:rsid w:val="00AB2EF7"/>
    <w:rsid w:val="00AB43D1"/>
    <w:rsid w:val="00AB5117"/>
    <w:rsid w:val="00AB6DD9"/>
    <w:rsid w:val="00AC219F"/>
    <w:rsid w:val="00AC50FF"/>
    <w:rsid w:val="00AC6B53"/>
    <w:rsid w:val="00AC7A57"/>
    <w:rsid w:val="00AD072E"/>
    <w:rsid w:val="00AD331E"/>
    <w:rsid w:val="00AD3BB6"/>
    <w:rsid w:val="00AD4E34"/>
    <w:rsid w:val="00AD4FD6"/>
    <w:rsid w:val="00AD7BB3"/>
    <w:rsid w:val="00AE0AA0"/>
    <w:rsid w:val="00AF1154"/>
    <w:rsid w:val="00AF1C32"/>
    <w:rsid w:val="00AF2695"/>
    <w:rsid w:val="00AF2B9F"/>
    <w:rsid w:val="00AF4721"/>
    <w:rsid w:val="00AF4E9F"/>
    <w:rsid w:val="00B0114E"/>
    <w:rsid w:val="00B03AB0"/>
    <w:rsid w:val="00B06DBE"/>
    <w:rsid w:val="00B13373"/>
    <w:rsid w:val="00B172D4"/>
    <w:rsid w:val="00B17E2E"/>
    <w:rsid w:val="00B216E8"/>
    <w:rsid w:val="00B22F91"/>
    <w:rsid w:val="00B23AD7"/>
    <w:rsid w:val="00B30A48"/>
    <w:rsid w:val="00B311EB"/>
    <w:rsid w:val="00B317A7"/>
    <w:rsid w:val="00B36795"/>
    <w:rsid w:val="00B3794B"/>
    <w:rsid w:val="00B43D36"/>
    <w:rsid w:val="00B540E6"/>
    <w:rsid w:val="00B54D21"/>
    <w:rsid w:val="00B54FB5"/>
    <w:rsid w:val="00B557B0"/>
    <w:rsid w:val="00B56831"/>
    <w:rsid w:val="00B608CB"/>
    <w:rsid w:val="00B6639E"/>
    <w:rsid w:val="00B756BD"/>
    <w:rsid w:val="00B90527"/>
    <w:rsid w:val="00B90E60"/>
    <w:rsid w:val="00B91312"/>
    <w:rsid w:val="00B937F7"/>
    <w:rsid w:val="00B95A99"/>
    <w:rsid w:val="00B95E9A"/>
    <w:rsid w:val="00B976CE"/>
    <w:rsid w:val="00BA0697"/>
    <w:rsid w:val="00BB2642"/>
    <w:rsid w:val="00BB6A48"/>
    <w:rsid w:val="00BC733B"/>
    <w:rsid w:val="00BD7A4C"/>
    <w:rsid w:val="00BE1F2D"/>
    <w:rsid w:val="00BE3BCE"/>
    <w:rsid w:val="00BE4703"/>
    <w:rsid w:val="00BF3B9D"/>
    <w:rsid w:val="00C01A7D"/>
    <w:rsid w:val="00C025C2"/>
    <w:rsid w:val="00C0316F"/>
    <w:rsid w:val="00C07175"/>
    <w:rsid w:val="00C075F8"/>
    <w:rsid w:val="00C07C23"/>
    <w:rsid w:val="00C13DF4"/>
    <w:rsid w:val="00C17F8B"/>
    <w:rsid w:val="00C23564"/>
    <w:rsid w:val="00C25F2F"/>
    <w:rsid w:val="00C332A5"/>
    <w:rsid w:val="00C33D99"/>
    <w:rsid w:val="00C34342"/>
    <w:rsid w:val="00C4327A"/>
    <w:rsid w:val="00C457B5"/>
    <w:rsid w:val="00C46BD6"/>
    <w:rsid w:val="00C47E2D"/>
    <w:rsid w:val="00C51E0C"/>
    <w:rsid w:val="00C538E3"/>
    <w:rsid w:val="00C60FE0"/>
    <w:rsid w:val="00C640D1"/>
    <w:rsid w:val="00C74DC7"/>
    <w:rsid w:val="00C75DB9"/>
    <w:rsid w:val="00C80670"/>
    <w:rsid w:val="00C80A9A"/>
    <w:rsid w:val="00C85230"/>
    <w:rsid w:val="00C86892"/>
    <w:rsid w:val="00C87BF8"/>
    <w:rsid w:val="00C91913"/>
    <w:rsid w:val="00C942FF"/>
    <w:rsid w:val="00C949C3"/>
    <w:rsid w:val="00CA20AE"/>
    <w:rsid w:val="00CA2A2E"/>
    <w:rsid w:val="00CB26F8"/>
    <w:rsid w:val="00CB56B2"/>
    <w:rsid w:val="00CB5A12"/>
    <w:rsid w:val="00CB5E4C"/>
    <w:rsid w:val="00CC14DD"/>
    <w:rsid w:val="00CC1EF6"/>
    <w:rsid w:val="00CC776E"/>
    <w:rsid w:val="00CE43C4"/>
    <w:rsid w:val="00CE5357"/>
    <w:rsid w:val="00CE5A41"/>
    <w:rsid w:val="00CE7637"/>
    <w:rsid w:val="00CE7918"/>
    <w:rsid w:val="00CF50DA"/>
    <w:rsid w:val="00CF6793"/>
    <w:rsid w:val="00CF7630"/>
    <w:rsid w:val="00D04A6C"/>
    <w:rsid w:val="00D11ED3"/>
    <w:rsid w:val="00D137F7"/>
    <w:rsid w:val="00D1435E"/>
    <w:rsid w:val="00D16D50"/>
    <w:rsid w:val="00D2192F"/>
    <w:rsid w:val="00D2520C"/>
    <w:rsid w:val="00D2566B"/>
    <w:rsid w:val="00D26465"/>
    <w:rsid w:val="00D2673D"/>
    <w:rsid w:val="00D30797"/>
    <w:rsid w:val="00D33193"/>
    <w:rsid w:val="00D40491"/>
    <w:rsid w:val="00D423A3"/>
    <w:rsid w:val="00D44451"/>
    <w:rsid w:val="00D461A3"/>
    <w:rsid w:val="00D50D6B"/>
    <w:rsid w:val="00D5404F"/>
    <w:rsid w:val="00D56EBB"/>
    <w:rsid w:val="00D71B20"/>
    <w:rsid w:val="00D73981"/>
    <w:rsid w:val="00D80D41"/>
    <w:rsid w:val="00D821E1"/>
    <w:rsid w:val="00D83B3F"/>
    <w:rsid w:val="00D8511C"/>
    <w:rsid w:val="00D851A3"/>
    <w:rsid w:val="00D900BA"/>
    <w:rsid w:val="00D90339"/>
    <w:rsid w:val="00D91123"/>
    <w:rsid w:val="00D915C0"/>
    <w:rsid w:val="00DA0022"/>
    <w:rsid w:val="00DA09A6"/>
    <w:rsid w:val="00DA394D"/>
    <w:rsid w:val="00DA5D44"/>
    <w:rsid w:val="00DA6B3F"/>
    <w:rsid w:val="00DB5174"/>
    <w:rsid w:val="00DB7FC9"/>
    <w:rsid w:val="00DC53C0"/>
    <w:rsid w:val="00DD409A"/>
    <w:rsid w:val="00DD70F0"/>
    <w:rsid w:val="00DE4974"/>
    <w:rsid w:val="00DF1EC7"/>
    <w:rsid w:val="00DF20F6"/>
    <w:rsid w:val="00DF6DC7"/>
    <w:rsid w:val="00E01CEA"/>
    <w:rsid w:val="00E03F6D"/>
    <w:rsid w:val="00E04DEA"/>
    <w:rsid w:val="00E11D8E"/>
    <w:rsid w:val="00E12CB3"/>
    <w:rsid w:val="00E1445E"/>
    <w:rsid w:val="00E16F67"/>
    <w:rsid w:val="00E216C1"/>
    <w:rsid w:val="00E26CC6"/>
    <w:rsid w:val="00E273B8"/>
    <w:rsid w:val="00E274B7"/>
    <w:rsid w:val="00E33B29"/>
    <w:rsid w:val="00E3541A"/>
    <w:rsid w:val="00E3637F"/>
    <w:rsid w:val="00E3731D"/>
    <w:rsid w:val="00E42A4E"/>
    <w:rsid w:val="00E42E7B"/>
    <w:rsid w:val="00E52E86"/>
    <w:rsid w:val="00E556AD"/>
    <w:rsid w:val="00E55913"/>
    <w:rsid w:val="00E60549"/>
    <w:rsid w:val="00E61D65"/>
    <w:rsid w:val="00E736BD"/>
    <w:rsid w:val="00E748EA"/>
    <w:rsid w:val="00E80343"/>
    <w:rsid w:val="00E83995"/>
    <w:rsid w:val="00E8448A"/>
    <w:rsid w:val="00E91C45"/>
    <w:rsid w:val="00E9393E"/>
    <w:rsid w:val="00E95143"/>
    <w:rsid w:val="00E963A1"/>
    <w:rsid w:val="00E9799A"/>
    <w:rsid w:val="00EA6770"/>
    <w:rsid w:val="00EB0802"/>
    <w:rsid w:val="00EB12AC"/>
    <w:rsid w:val="00EB693E"/>
    <w:rsid w:val="00EB7566"/>
    <w:rsid w:val="00EC54A6"/>
    <w:rsid w:val="00EC6CDD"/>
    <w:rsid w:val="00ED0C20"/>
    <w:rsid w:val="00ED5826"/>
    <w:rsid w:val="00ED5841"/>
    <w:rsid w:val="00ED733B"/>
    <w:rsid w:val="00EE663A"/>
    <w:rsid w:val="00EE7CB3"/>
    <w:rsid w:val="00EF0456"/>
    <w:rsid w:val="00EF1C78"/>
    <w:rsid w:val="00EF29C1"/>
    <w:rsid w:val="00EF721E"/>
    <w:rsid w:val="00F007C4"/>
    <w:rsid w:val="00F02170"/>
    <w:rsid w:val="00F0284F"/>
    <w:rsid w:val="00F02895"/>
    <w:rsid w:val="00F03BC2"/>
    <w:rsid w:val="00F05A44"/>
    <w:rsid w:val="00F11B1A"/>
    <w:rsid w:val="00F12DDC"/>
    <w:rsid w:val="00F15726"/>
    <w:rsid w:val="00F178CB"/>
    <w:rsid w:val="00F27E4F"/>
    <w:rsid w:val="00F33899"/>
    <w:rsid w:val="00F34796"/>
    <w:rsid w:val="00F37FD1"/>
    <w:rsid w:val="00F42B00"/>
    <w:rsid w:val="00F45BE8"/>
    <w:rsid w:val="00F45FB0"/>
    <w:rsid w:val="00F4637C"/>
    <w:rsid w:val="00F5074E"/>
    <w:rsid w:val="00F520A4"/>
    <w:rsid w:val="00F55C3F"/>
    <w:rsid w:val="00F60401"/>
    <w:rsid w:val="00F66E45"/>
    <w:rsid w:val="00F70CFD"/>
    <w:rsid w:val="00F71194"/>
    <w:rsid w:val="00F715B5"/>
    <w:rsid w:val="00F72E99"/>
    <w:rsid w:val="00F8425E"/>
    <w:rsid w:val="00F846DE"/>
    <w:rsid w:val="00F925E9"/>
    <w:rsid w:val="00F97CE1"/>
    <w:rsid w:val="00FA13EA"/>
    <w:rsid w:val="00FA234F"/>
    <w:rsid w:val="00FA431E"/>
    <w:rsid w:val="00FA7344"/>
    <w:rsid w:val="00FA799A"/>
    <w:rsid w:val="00FB0319"/>
    <w:rsid w:val="00FC4545"/>
    <w:rsid w:val="00FC4D0B"/>
    <w:rsid w:val="00FC5AA1"/>
    <w:rsid w:val="00FC64AE"/>
    <w:rsid w:val="00FC6DD8"/>
    <w:rsid w:val="00FC73F9"/>
    <w:rsid w:val="00FD1561"/>
    <w:rsid w:val="00FD1FE5"/>
    <w:rsid w:val="00FD5E00"/>
    <w:rsid w:val="00FE2E2E"/>
    <w:rsid w:val="00FE54E3"/>
    <w:rsid w:val="00FE7B7E"/>
    <w:rsid w:val="00FF2B54"/>
    <w:rsid w:val="00FF2D57"/>
    <w:rsid w:val="00FF487F"/>
    <w:rsid w:val="00FF717D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BBE81B"/>
  <w15:docId w15:val="{1F00EAF8-171A-4866-95A1-78B1629D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aliases w:val="bullet"/>
    <w:basedOn w:val="Normal"/>
    <w:link w:val="ListParagraphChar"/>
    <w:uiPriority w:val="34"/>
    <w:qFormat/>
    <w:rsid w:val="002D6E2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iPriority w:val="99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numbering" w:customStyle="1" w:styleId="Style1">
    <w:name w:val="Style1"/>
    <w:uiPriority w:val="99"/>
    <w:rsid w:val="00A90826"/>
    <w:pPr>
      <w:numPr>
        <w:numId w:val="10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527DE7"/>
    <w:rPr>
      <w:color w:val="800080" w:themeColor="followedHyperlink"/>
      <w:u w:val="single"/>
    </w:rPr>
  </w:style>
  <w:style w:type="character" w:customStyle="1" w:styleId="ListParagraphChar">
    <w:name w:val="List Paragraph Char"/>
    <w:aliases w:val="bullet Char"/>
    <w:link w:val="ListParagraph"/>
    <w:uiPriority w:val="34"/>
    <w:locked/>
    <w:rsid w:val="00746344"/>
    <w:rPr>
      <w:rFonts w:ascii="Calibri" w:eastAsia="WenQuanYi Micro Hei" w:hAnsi="Calibri" w:cs="Calibri"/>
      <w:color w:val="00000A"/>
      <w:lang w:val="sr-Cyrl-C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463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u.rs" TargetMode="External"/><Relationship Id="rId13" Type="http://schemas.openxmlformats.org/officeDocument/2006/relationships/hyperlink" Target="http://www.coebank.org/documents/107/Procurement_Guidelines_LJhjgEt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amara.popovic@piu.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u.r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nctionsmap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ebank.org/documents/107/Procurement_Guidelines_LJhjgEt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088E6-59E7-4D39-BE49-DDE085CB6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1309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Tamara Popovic</cp:lastModifiedBy>
  <cp:revision>2</cp:revision>
  <cp:lastPrinted>2022-03-15T11:16:00Z</cp:lastPrinted>
  <dcterms:created xsi:type="dcterms:W3CDTF">2022-03-16T09:12:00Z</dcterms:created>
  <dcterms:modified xsi:type="dcterms:W3CDTF">2022-03-16T09:12:00Z</dcterms:modified>
</cp:coreProperties>
</file>