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4F" w:rsidRPr="00BC1C24" w:rsidRDefault="009A664F" w:rsidP="009D6BBD">
      <w:pPr>
        <w:rPr>
          <w:b/>
          <w:lang w:val="sr-Cyrl-RS"/>
        </w:rPr>
      </w:pPr>
    </w:p>
    <w:p w:rsidR="009D6BBD" w:rsidRPr="00BC1C24" w:rsidRDefault="0000648F" w:rsidP="009D6BBD">
      <w:pPr>
        <w:jc w:val="both"/>
        <w:rPr>
          <w:lang w:val="hr-HR"/>
        </w:rPr>
      </w:pPr>
      <w:r w:rsidRPr="00B84109">
        <w:rPr>
          <w:lang w:val="sv-SE"/>
        </w:rPr>
        <w:t>На</w:t>
      </w:r>
      <w:r w:rsidRPr="00B84109">
        <w:rPr>
          <w:lang w:val="hr-HR"/>
        </w:rPr>
        <w:t xml:space="preserve"> </w:t>
      </w:r>
      <w:r w:rsidRPr="00B84109">
        <w:rPr>
          <w:lang w:val="sv-SE"/>
        </w:rPr>
        <w:t>основу</w:t>
      </w:r>
      <w:r w:rsidRPr="00B84109">
        <w:rPr>
          <w:lang w:val="hr-HR"/>
        </w:rPr>
        <w:t xml:space="preserve"> ч</w:t>
      </w:r>
      <w:r w:rsidRPr="00B84109">
        <w:rPr>
          <w:lang w:val="sv-SE"/>
        </w:rPr>
        <w:t>лана</w:t>
      </w:r>
      <w:r w:rsidRPr="00B84109">
        <w:rPr>
          <w:lang w:val="hr-HR"/>
        </w:rPr>
        <w:t xml:space="preserve"> </w:t>
      </w:r>
      <w:r w:rsidR="00B84109" w:rsidRPr="00B84109">
        <w:rPr>
          <w:lang w:val="sr-Cyrl-CS"/>
        </w:rPr>
        <w:t>36</w:t>
      </w:r>
      <w:r w:rsidRPr="00B84109">
        <w:rPr>
          <w:lang w:val="sr-Cyrl-CS"/>
        </w:rPr>
        <w:t>.</w:t>
      </w:r>
      <w:r w:rsidR="00B94652" w:rsidRPr="00B84109">
        <w:rPr>
          <w:lang w:val="sr-Cyrl-CS"/>
        </w:rPr>
        <w:t xml:space="preserve"> </w:t>
      </w:r>
      <w:r w:rsidR="00B84109" w:rsidRPr="00B84109">
        <w:rPr>
          <w:lang w:val="sr-Cyrl-RS"/>
        </w:rPr>
        <w:t>став 1. тачка 2)</w:t>
      </w:r>
      <w:r w:rsidRPr="00B84109">
        <w:rPr>
          <w:lang w:val="hr-HR"/>
        </w:rPr>
        <w:t xml:space="preserve"> </w:t>
      </w:r>
      <w:proofErr w:type="spellStart"/>
      <w:r w:rsidRPr="00B84109">
        <w:t>Закона</w:t>
      </w:r>
      <w:proofErr w:type="spellEnd"/>
      <w:r w:rsidRPr="00B84109">
        <w:rPr>
          <w:lang w:val="hr-HR"/>
        </w:rPr>
        <w:t xml:space="preserve"> </w:t>
      </w:r>
      <w:r w:rsidRPr="00B84109">
        <w:t>о</w:t>
      </w:r>
      <w:r w:rsidRPr="00B84109">
        <w:rPr>
          <w:lang w:val="hr-HR"/>
        </w:rPr>
        <w:t xml:space="preserve"> </w:t>
      </w:r>
      <w:proofErr w:type="spellStart"/>
      <w:r w:rsidRPr="00B84109">
        <w:t>јавним</w:t>
      </w:r>
      <w:proofErr w:type="spellEnd"/>
      <w:r w:rsidRPr="00B84109">
        <w:rPr>
          <w:lang w:val="hr-HR"/>
        </w:rPr>
        <w:t xml:space="preserve"> </w:t>
      </w:r>
      <w:proofErr w:type="spellStart"/>
      <w:r w:rsidRPr="00B84109">
        <w:t>набавкама</w:t>
      </w:r>
      <w:proofErr w:type="spellEnd"/>
      <w:r w:rsidRPr="00B84109">
        <w:rPr>
          <w:rFonts w:eastAsia="TimesNewRomanPSMT"/>
        </w:rPr>
        <w:t xml:space="preserve"> („</w:t>
      </w:r>
      <w:proofErr w:type="spellStart"/>
      <w:r w:rsidRPr="00B84109">
        <w:rPr>
          <w:rFonts w:eastAsia="TimesNewRomanPSMT"/>
        </w:rPr>
        <w:t>Сл</w:t>
      </w:r>
      <w:proofErr w:type="spellEnd"/>
      <w:r w:rsidRPr="00B84109">
        <w:rPr>
          <w:rFonts w:eastAsia="TimesNewRomanPSMT"/>
        </w:rPr>
        <w:t xml:space="preserve">. </w:t>
      </w:r>
      <w:proofErr w:type="spellStart"/>
      <w:proofErr w:type="gramStart"/>
      <w:r w:rsidRPr="00B84109">
        <w:rPr>
          <w:rFonts w:eastAsia="TimesNewRomanPSMT"/>
        </w:rPr>
        <w:t>гласник</w:t>
      </w:r>
      <w:proofErr w:type="spellEnd"/>
      <w:proofErr w:type="gramEnd"/>
      <w:r w:rsidRPr="00B84109">
        <w:rPr>
          <w:rFonts w:eastAsia="TimesNewRomanPSMT"/>
        </w:rPr>
        <w:t xml:space="preserve"> РС” </w:t>
      </w:r>
      <w:proofErr w:type="spellStart"/>
      <w:r w:rsidRPr="00B84109">
        <w:rPr>
          <w:rFonts w:eastAsia="TimesNewRomanPSMT"/>
        </w:rPr>
        <w:t>бр</w:t>
      </w:r>
      <w:proofErr w:type="spellEnd"/>
      <w:r w:rsidRPr="00B84109">
        <w:rPr>
          <w:rFonts w:eastAsia="TimesNewRomanPSMT"/>
        </w:rPr>
        <w:t>. 124/2012</w:t>
      </w:r>
      <w:r w:rsidR="00EE3789" w:rsidRPr="00B84109">
        <w:rPr>
          <w:lang w:val="sr-Cyrl-CS"/>
        </w:rPr>
        <w:t xml:space="preserve"> и 14/15</w:t>
      </w:r>
      <w:r w:rsidRPr="00B84109">
        <w:rPr>
          <w:rFonts w:eastAsia="TimesNewRomanPSMT"/>
        </w:rPr>
        <w:t xml:space="preserve">), </w:t>
      </w:r>
      <w:r w:rsidR="00EE3789" w:rsidRPr="00B84109">
        <w:rPr>
          <w:lang w:val="sr-Cyrl-CS"/>
        </w:rPr>
        <w:t xml:space="preserve">Наручилац </w:t>
      </w:r>
      <w:r w:rsidR="009F12CE" w:rsidRPr="00B84109">
        <w:rPr>
          <w:lang w:val="sr-Cyrl-CS"/>
        </w:rPr>
        <w:t>објављује</w:t>
      </w:r>
      <w:r w:rsidRPr="00B84109">
        <w:t>:</w:t>
      </w: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B94652" w:rsidP="009D6BBD">
      <w:pPr>
        <w:jc w:val="center"/>
        <w:rPr>
          <w:b/>
          <w:bCs/>
          <w:lang w:val="sr-Cyrl-CS"/>
        </w:rPr>
      </w:pPr>
      <w:r>
        <w:rPr>
          <w:b/>
          <w:bCs/>
          <w:lang w:val="sr-Cyrl-RS"/>
        </w:rPr>
        <w:t xml:space="preserve">ОБАВЕШТЕЊЕ О </w:t>
      </w:r>
      <w:r w:rsidR="000443A3">
        <w:rPr>
          <w:b/>
          <w:bCs/>
          <w:lang w:val="sr-Cyrl-RS"/>
        </w:rPr>
        <w:t xml:space="preserve">ПОКРЕТАЊУ ПРЕГОВАРАЧКОГ ПОСТУПКА БЕЗ ОБЈАВЉИВАЊА ПОЗИВА ЗА ПОДНОШЕЊЕ ПОНУДА </w:t>
      </w:r>
      <w:r w:rsidR="009D6BBD" w:rsidRPr="00BC1C24">
        <w:rPr>
          <w:b/>
          <w:bCs/>
          <w:lang w:val="sr-Cyrl-CS"/>
        </w:rPr>
        <w:t xml:space="preserve"> </w:t>
      </w: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9D6BBD" w:rsidRPr="00BC1C24" w:rsidRDefault="009D6BBD" w:rsidP="009D6BBD">
      <w:pPr>
        <w:jc w:val="center"/>
        <w:rPr>
          <w:b/>
          <w:bCs/>
          <w:lang w:val="sr-Cyrl-CS"/>
        </w:rPr>
      </w:pPr>
    </w:p>
    <w:p w:rsidR="0000648F" w:rsidRPr="00967E3E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Назив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r w:rsidRPr="00967E3E">
        <w:rPr>
          <w:color w:val="000000"/>
          <w:lang w:val="sr-Cyrl-RS"/>
        </w:rPr>
        <w:t>„ЈУП Истраживање и развој</w:t>
      </w:r>
      <w:proofErr w:type="gramStart"/>
      <w:r w:rsidRPr="00967E3E">
        <w:rPr>
          <w:color w:val="000000"/>
          <w:lang w:val="sr-Cyrl-RS"/>
        </w:rPr>
        <w:t>“ д.о.о</w:t>
      </w:r>
      <w:proofErr w:type="gramEnd"/>
      <w:r w:rsidRPr="00967E3E">
        <w:rPr>
          <w:color w:val="000000"/>
          <w:lang w:val="sr-Cyrl-RS"/>
        </w:rPr>
        <w:t>. Београд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967E3E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Адреса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r w:rsidR="00B94652">
        <w:rPr>
          <w:color w:val="000000"/>
          <w:lang w:val="sr-Cyrl-RS"/>
        </w:rPr>
        <w:t>Немањина 22-26</w:t>
      </w:r>
      <w:r w:rsidRPr="00967E3E">
        <w:rPr>
          <w:color w:val="000000"/>
          <w:lang w:val="sr-Cyrl-RS"/>
        </w:rPr>
        <w:t>, Београд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945DC1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967E3E">
        <w:rPr>
          <w:b/>
          <w:color w:val="000000"/>
        </w:rPr>
        <w:t>Интернет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страница</w:t>
      </w:r>
      <w:proofErr w:type="spellEnd"/>
      <w:r w:rsidRPr="00967E3E">
        <w:rPr>
          <w:b/>
          <w:color w:val="000000"/>
        </w:rPr>
        <w:t xml:space="preserve"> </w:t>
      </w:r>
      <w:proofErr w:type="spellStart"/>
      <w:r w:rsidRPr="00967E3E">
        <w:rPr>
          <w:b/>
          <w:color w:val="000000"/>
        </w:rPr>
        <w:t>наручиоца</w:t>
      </w:r>
      <w:proofErr w:type="spellEnd"/>
      <w:r w:rsidRPr="00967E3E">
        <w:rPr>
          <w:color w:val="000000"/>
        </w:rPr>
        <w:t xml:space="preserve">: </w:t>
      </w:r>
      <w:hyperlink r:id="rId6" w:history="1">
        <w:r w:rsidR="00945DC1" w:rsidRPr="00945DC1">
          <w:rPr>
            <w:rStyle w:val="Hyperlink"/>
            <w:color w:val="FF0000"/>
          </w:rPr>
          <w:t>http://www.piu.rs</w:t>
        </w:r>
      </w:hyperlink>
      <w:r w:rsidR="00945DC1">
        <w:rPr>
          <w:color w:val="000000"/>
          <w:lang w:val="sr-Cyrl-RS"/>
        </w:rPr>
        <w:t xml:space="preserve"> 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0443A3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0443A3">
        <w:rPr>
          <w:b/>
          <w:color w:val="000000"/>
        </w:rPr>
        <w:t>Врста</w:t>
      </w:r>
      <w:proofErr w:type="spellEnd"/>
      <w:r w:rsidRPr="000443A3">
        <w:rPr>
          <w:b/>
          <w:color w:val="000000"/>
        </w:rPr>
        <w:t xml:space="preserve"> </w:t>
      </w:r>
      <w:proofErr w:type="spellStart"/>
      <w:r w:rsidRPr="000443A3">
        <w:rPr>
          <w:b/>
          <w:color w:val="000000"/>
        </w:rPr>
        <w:t>наручиоца</w:t>
      </w:r>
      <w:proofErr w:type="spellEnd"/>
      <w:r w:rsidRPr="000443A3">
        <w:rPr>
          <w:color w:val="000000"/>
        </w:rPr>
        <w:t xml:space="preserve">: </w:t>
      </w:r>
      <w:r w:rsidRPr="000443A3">
        <w:rPr>
          <w:color w:val="000000"/>
          <w:lang w:val="sr-Cyrl-RS"/>
        </w:rPr>
        <w:t>Привредно друштво са ограниченом одговорношћу</w:t>
      </w:r>
    </w:p>
    <w:p w:rsidR="0000648F" w:rsidRPr="000443A3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  <w:lang w:val="sr-Cyrl-CS"/>
        </w:rPr>
      </w:pPr>
    </w:p>
    <w:p w:rsidR="0000648F" w:rsidRDefault="0000648F" w:rsidP="0000648F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proofErr w:type="spellStart"/>
      <w:r w:rsidRPr="000443A3">
        <w:rPr>
          <w:b/>
          <w:color w:val="000000"/>
        </w:rPr>
        <w:t>Врста</w:t>
      </w:r>
      <w:proofErr w:type="spellEnd"/>
      <w:r w:rsidRPr="000443A3">
        <w:rPr>
          <w:b/>
          <w:color w:val="000000"/>
        </w:rPr>
        <w:t xml:space="preserve"> </w:t>
      </w:r>
      <w:proofErr w:type="spellStart"/>
      <w:r w:rsidRPr="000443A3">
        <w:rPr>
          <w:b/>
          <w:color w:val="000000"/>
        </w:rPr>
        <w:t>поступка</w:t>
      </w:r>
      <w:proofErr w:type="spellEnd"/>
      <w:r w:rsidRPr="000443A3">
        <w:rPr>
          <w:b/>
          <w:color w:val="000000"/>
        </w:rPr>
        <w:t xml:space="preserve"> </w:t>
      </w:r>
      <w:proofErr w:type="spellStart"/>
      <w:r w:rsidRPr="000443A3">
        <w:rPr>
          <w:b/>
          <w:color w:val="000000"/>
        </w:rPr>
        <w:t>јавне</w:t>
      </w:r>
      <w:proofErr w:type="spellEnd"/>
      <w:r w:rsidRPr="000443A3">
        <w:rPr>
          <w:b/>
          <w:color w:val="000000"/>
        </w:rPr>
        <w:t xml:space="preserve"> </w:t>
      </w:r>
      <w:proofErr w:type="spellStart"/>
      <w:r w:rsidRPr="000443A3">
        <w:rPr>
          <w:b/>
          <w:color w:val="000000"/>
        </w:rPr>
        <w:t>набавке</w:t>
      </w:r>
      <w:proofErr w:type="spellEnd"/>
      <w:r w:rsidRPr="000443A3">
        <w:rPr>
          <w:b/>
          <w:color w:val="000000"/>
        </w:rPr>
        <w:t>:</w:t>
      </w:r>
      <w:r w:rsidRPr="000443A3">
        <w:rPr>
          <w:color w:val="000000"/>
        </w:rPr>
        <w:t xml:space="preserve"> </w:t>
      </w:r>
      <w:r w:rsidR="000443A3" w:rsidRPr="000443A3">
        <w:rPr>
          <w:color w:val="000000"/>
          <w:lang w:val="sr-Cyrl-RS"/>
        </w:rPr>
        <w:t>Преговарачки поступак без објављивања позива за подношење понуда</w:t>
      </w:r>
      <w:r w:rsidRPr="000443A3">
        <w:rPr>
          <w:color w:val="000000"/>
        </w:rPr>
        <w:t>.</w:t>
      </w:r>
    </w:p>
    <w:p w:rsidR="000443A3" w:rsidRDefault="000443A3" w:rsidP="0000648F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</w:p>
    <w:p w:rsidR="000443A3" w:rsidRPr="000443A3" w:rsidRDefault="000443A3" w:rsidP="0000648F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 w:rsidRPr="000443A3">
        <w:rPr>
          <w:b/>
          <w:color w:val="000000"/>
          <w:lang w:val="sr-Cyrl-RS"/>
        </w:rPr>
        <w:t>Врста предмета</w:t>
      </w:r>
      <w:r>
        <w:rPr>
          <w:color w:val="000000"/>
          <w:lang w:val="sr-Cyrl-RS"/>
        </w:rPr>
        <w:t>: услуге</w:t>
      </w:r>
    </w:p>
    <w:p w:rsidR="0000648F" w:rsidRPr="00967E3E" w:rsidRDefault="0000648F" w:rsidP="0000648F">
      <w:pPr>
        <w:autoSpaceDE w:val="0"/>
        <w:autoSpaceDN w:val="0"/>
        <w:adjustRightInd w:val="0"/>
        <w:ind w:left="-540"/>
        <w:jc w:val="both"/>
        <w:rPr>
          <w:b/>
          <w:bCs/>
          <w:color w:val="000000"/>
        </w:rPr>
      </w:pPr>
    </w:p>
    <w:p w:rsidR="000443A3" w:rsidRPr="000443A3" w:rsidRDefault="0000648F" w:rsidP="000443A3">
      <w:proofErr w:type="spellStart"/>
      <w:r w:rsidRPr="000443A3">
        <w:rPr>
          <w:b/>
          <w:bCs/>
          <w:color w:val="000000"/>
        </w:rPr>
        <w:t>За</w:t>
      </w:r>
      <w:proofErr w:type="spellEnd"/>
      <w:r w:rsidRPr="000443A3">
        <w:rPr>
          <w:b/>
          <w:bCs/>
          <w:color w:val="000000"/>
        </w:rPr>
        <w:t xml:space="preserve"> </w:t>
      </w:r>
      <w:r w:rsidRPr="000443A3">
        <w:rPr>
          <w:b/>
          <w:bCs/>
          <w:color w:val="000000"/>
          <w:lang w:val="sr-Cyrl-CS"/>
        </w:rPr>
        <w:t>услуге</w:t>
      </w:r>
      <w:r w:rsidRPr="000443A3">
        <w:rPr>
          <w:color w:val="000000"/>
        </w:rPr>
        <w:t xml:space="preserve">: </w:t>
      </w:r>
      <w:r w:rsidRPr="000443A3">
        <w:rPr>
          <w:color w:val="000000"/>
          <w:lang w:val="sr-Cyrl-CS"/>
        </w:rPr>
        <w:t>Набавка услуг</w:t>
      </w:r>
      <w:r w:rsidR="00816BE8">
        <w:rPr>
          <w:color w:val="000000"/>
          <w:lang w:val="sr-Cyrl-RS"/>
        </w:rPr>
        <w:t>а</w:t>
      </w:r>
      <w:bookmarkStart w:id="0" w:name="_GoBack"/>
      <w:bookmarkEnd w:id="0"/>
      <w:r w:rsidRPr="000443A3">
        <w:rPr>
          <w:color w:val="000000"/>
          <w:lang w:val="sr-Cyrl-CS"/>
        </w:rPr>
        <w:t xml:space="preserve"> </w:t>
      </w:r>
      <w:r w:rsidR="000443A3" w:rsidRPr="000443A3">
        <w:rPr>
          <w:noProof/>
          <w:color w:val="000000"/>
          <w:lang w:val="sr-Cyrl-RS"/>
        </w:rPr>
        <w:t xml:space="preserve">електронске базе прописа: </w:t>
      </w:r>
      <w:r w:rsidR="000443A3" w:rsidRPr="000443A3">
        <w:rPr>
          <w:noProof/>
          <w:color w:val="000000"/>
          <w:lang w:val="sr-Latn-RS"/>
        </w:rPr>
        <w:t>Paragraf Leks</w:t>
      </w:r>
      <w:r w:rsidR="000443A3" w:rsidRPr="000443A3">
        <w:rPr>
          <w:noProof/>
          <w:color w:val="000000"/>
          <w:lang w:val="sr-Cyrl-RS"/>
        </w:rPr>
        <w:t>.</w:t>
      </w:r>
    </w:p>
    <w:p w:rsidR="000443A3" w:rsidRPr="000443A3" w:rsidRDefault="000443A3" w:rsidP="00EF0FEF">
      <w:pPr>
        <w:ind w:left="-540"/>
        <w:jc w:val="both"/>
        <w:rPr>
          <w:noProof/>
          <w:color w:val="000000"/>
        </w:rPr>
      </w:pPr>
    </w:p>
    <w:p w:rsidR="000443A3" w:rsidRDefault="0000648F" w:rsidP="000443A3">
      <w:pPr>
        <w:jc w:val="both"/>
        <w:rPr>
          <w:noProof/>
          <w:lang w:val="sr-Cyrl-RS"/>
        </w:rPr>
      </w:pPr>
      <w:proofErr w:type="spellStart"/>
      <w:r w:rsidRPr="000443A3">
        <w:rPr>
          <w:b/>
          <w:bCs/>
          <w:color w:val="000000"/>
        </w:rPr>
        <w:t>Назив</w:t>
      </w:r>
      <w:proofErr w:type="spellEnd"/>
      <w:r w:rsidRPr="000443A3">
        <w:rPr>
          <w:b/>
          <w:bCs/>
          <w:color w:val="000000"/>
        </w:rPr>
        <w:t xml:space="preserve"> и </w:t>
      </w:r>
      <w:proofErr w:type="spellStart"/>
      <w:r w:rsidRPr="000443A3">
        <w:rPr>
          <w:b/>
          <w:bCs/>
          <w:color w:val="000000"/>
        </w:rPr>
        <w:t>ознака</w:t>
      </w:r>
      <w:proofErr w:type="spellEnd"/>
      <w:r w:rsidRPr="000443A3">
        <w:rPr>
          <w:b/>
          <w:bCs/>
          <w:color w:val="000000"/>
        </w:rPr>
        <w:t xml:space="preserve"> </w:t>
      </w:r>
      <w:proofErr w:type="spellStart"/>
      <w:r w:rsidRPr="000443A3">
        <w:rPr>
          <w:b/>
          <w:bCs/>
          <w:color w:val="000000"/>
        </w:rPr>
        <w:t>из</w:t>
      </w:r>
      <w:proofErr w:type="spellEnd"/>
      <w:r w:rsidRPr="000443A3">
        <w:rPr>
          <w:b/>
          <w:bCs/>
          <w:color w:val="000000"/>
        </w:rPr>
        <w:t xml:space="preserve"> </w:t>
      </w:r>
      <w:proofErr w:type="spellStart"/>
      <w:r w:rsidRPr="000443A3">
        <w:rPr>
          <w:b/>
          <w:bCs/>
          <w:color w:val="000000"/>
        </w:rPr>
        <w:t>општег</w:t>
      </w:r>
      <w:proofErr w:type="spellEnd"/>
      <w:r w:rsidRPr="000443A3">
        <w:rPr>
          <w:b/>
          <w:bCs/>
          <w:color w:val="000000"/>
        </w:rPr>
        <w:t xml:space="preserve"> </w:t>
      </w:r>
      <w:proofErr w:type="spellStart"/>
      <w:r w:rsidRPr="000443A3">
        <w:rPr>
          <w:b/>
          <w:bCs/>
          <w:color w:val="000000"/>
        </w:rPr>
        <w:t>речника</w:t>
      </w:r>
      <w:proofErr w:type="spellEnd"/>
      <w:r w:rsidRPr="000443A3">
        <w:rPr>
          <w:b/>
          <w:bCs/>
          <w:color w:val="000000"/>
        </w:rPr>
        <w:t xml:space="preserve"> </w:t>
      </w:r>
      <w:proofErr w:type="spellStart"/>
      <w:r w:rsidRPr="000443A3">
        <w:rPr>
          <w:b/>
          <w:bCs/>
          <w:color w:val="000000"/>
        </w:rPr>
        <w:t>набавке</w:t>
      </w:r>
      <w:proofErr w:type="spellEnd"/>
      <w:r w:rsidRPr="000443A3">
        <w:rPr>
          <w:bCs/>
          <w:color w:val="000000"/>
        </w:rPr>
        <w:t xml:space="preserve">: </w:t>
      </w:r>
      <w:r w:rsidR="000443A3" w:rsidRPr="000443A3">
        <w:rPr>
          <w:lang w:val="sr-Cyrl-CS"/>
        </w:rPr>
        <w:t>48000000</w:t>
      </w:r>
      <w:r w:rsidRPr="000443A3">
        <w:rPr>
          <w:lang w:val="sr-Cyrl-CS"/>
        </w:rPr>
        <w:t xml:space="preserve"> – </w:t>
      </w:r>
      <w:r w:rsidR="000443A3" w:rsidRPr="000443A3">
        <w:rPr>
          <w:noProof/>
          <w:lang w:val="sr-Cyrl-RS"/>
        </w:rPr>
        <w:t>Програмски пакети и информациони системи.</w:t>
      </w:r>
    </w:p>
    <w:p w:rsidR="000443A3" w:rsidRDefault="000443A3"/>
    <w:p w:rsidR="009D6BBD" w:rsidRPr="00B84109" w:rsidRDefault="000443A3" w:rsidP="0000648F">
      <w:pPr>
        <w:jc w:val="both"/>
        <w:rPr>
          <w:lang w:val="sr-Cyrl-CS"/>
        </w:rPr>
      </w:pPr>
      <w:r w:rsidRPr="00B84109">
        <w:rPr>
          <w:rFonts w:eastAsiaTheme="minorHAnsi"/>
          <w:lang w:val="sr-Latn-RS"/>
        </w:rPr>
        <w:t>Основ за примену преговарачког поступка и подаци који оправдавају његову примену</w:t>
      </w:r>
      <w:r w:rsidR="0000648F" w:rsidRPr="00B84109">
        <w:t>:</w:t>
      </w:r>
    </w:p>
    <w:p w:rsidR="0000648F" w:rsidRPr="00B84109" w:rsidRDefault="0000648F" w:rsidP="0000648F">
      <w:pPr>
        <w:autoSpaceDE w:val="0"/>
        <w:autoSpaceDN w:val="0"/>
        <w:adjustRightInd w:val="0"/>
        <w:jc w:val="both"/>
        <w:rPr>
          <w:b/>
          <w:lang w:val="sr-Cyrl-C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00648F" w:rsidRPr="00B84109" w:rsidTr="0000648F">
        <w:trPr>
          <w:jc w:val="center"/>
        </w:trPr>
        <w:tc>
          <w:tcPr>
            <w:tcW w:w="9046" w:type="dxa"/>
          </w:tcPr>
          <w:p w:rsidR="001B2152" w:rsidRPr="001B2152" w:rsidRDefault="00B84109" w:rsidP="001B215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val="sr-Cyrl-CS"/>
              </w:rPr>
            </w:pPr>
            <w:r w:rsidRPr="00B84109">
              <w:rPr>
                <w:b/>
                <w:lang w:val="sr-Cyrl-CS"/>
              </w:rPr>
              <w:t>Мишљење Управе за јавне набавке</w:t>
            </w:r>
            <w:r w:rsidRPr="00B84109">
              <w:rPr>
                <w:lang w:val="sr-Cyrl-CS"/>
              </w:rPr>
              <w:t xml:space="preserve"> број 404-02-2315/15 од 06.07.2015. године, зав</w:t>
            </w:r>
            <w:r w:rsidR="001B2152">
              <w:rPr>
                <w:lang w:val="sr-Cyrl-CS"/>
              </w:rPr>
              <w:t>е</w:t>
            </w:r>
            <w:r w:rsidRPr="00B84109">
              <w:rPr>
                <w:lang w:val="sr-Cyrl-CS"/>
              </w:rPr>
              <w:t>дено код Наручиоца под бројем</w:t>
            </w:r>
            <w:r>
              <w:rPr>
                <w:lang w:val="sr-Cyrl-CS"/>
              </w:rPr>
              <w:t xml:space="preserve"> 3313 дана </w:t>
            </w:r>
            <w:r w:rsidRPr="00B84109">
              <w:rPr>
                <w:lang w:val="sr-Cyrl-CS"/>
              </w:rPr>
              <w:t>13.07.2015. године, да су испуњени услови за примену преговарачког постука без објављивања позива за подношење понуда, предвиђене чланом 36. став 1.</w:t>
            </w:r>
            <w:r>
              <w:rPr>
                <w:lang w:val="sr-Cyrl-CS"/>
              </w:rPr>
              <w:t xml:space="preserve"> тачк</w:t>
            </w:r>
            <w:r w:rsidR="001B2152">
              <w:rPr>
                <w:lang w:val="sr-Cyrl-CS"/>
              </w:rPr>
              <w:t xml:space="preserve">а 2) Закона са </w:t>
            </w:r>
            <w:proofErr w:type="spellStart"/>
            <w:r w:rsidR="001B2152" w:rsidRPr="00B84109">
              <w:rPr>
                <w:lang w:val="en-US"/>
              </w:rPr>
              <w:t>Paragraf</w:t>
            </w:r>
            <w:proofErr w:type="spellEnd"/>
            <w:r w:rsidR="001B2152" w:rsidRPr="00B84109">
              <w:rPr>
                <w:lang w:val="en-US"/>
              </w:rPr>
              <w:t xml:space="preserve"> Lex</w:t>
            </w:r>
            <w:r w:rsidR="001B2152">
              <w:rPr>
                <w:lang w:val="sr-Cyrl-RS"/>
              </w:rPr>
              <w:t>-ом који је  једини и искључиви издавач и дистрибутер електронске базе прописа.</w:t>
            </w:r>
          </w:p>
        </w:tc>
      </w:tr>
    </w:tbl>
    <w:p w:rsidR="0000648F" w:rsidRPr="000443A3" w:rsidRDefault="0000648F" w:rsidP="0000648F">
      <w:pPr>
        <w:autoSpaceDE w:val="0"/>
        <w:autoSpaceDN w:val="0"/>
        <w:adjustRightInd w:val="0"/>
        <w:ind w:left="-540"/>
        <w:jc w:val="both"/>
        <w:rPr>
          <w:b/>
          <w:highlight w:val="yellow"/>
          <w:lang w:val="sr-Cyrl-CS"/>
        </w:rPr>
      </w:pPr>
    </w:p>
    <w:p w:rsidR="0000648F" w:rsidRPr="00B84109" w:rsidRDefault="00B84109" w:rsidP="009A664F">
      <w:pPr>
        <w:widowControl w:val="0"/>
        <w:autoSpaceDE w:val="0"/>
        <w:autoSpaceDN w:val="0"/>
        <w:adjustRightInd w:val="0"/>
        <w:jc w:val="both"/>
        <w:rPr>
          <w:highlight w:val="yellow"/>
          <w:lang w:val="sr-Cyrl-RS"/>
        </w:rPr>
      </w:pPr>
      <w:r w:rsidRPr="00B84109">
        <w:rPr>
          <w:rFonts w:eastAsiaTheme="minorHAnsi"/>
          <w:lang w:val="sr-Latn-RS"/>
        </w:rPr>
        <w:t>Назив и адреса лица којима ће наручилац послати позив за подношење понуда</w:t>
      </w:r>
      <w:r>
        <w:rPr>
          <w:rFonts w:ascii="Calibri" w:eastAsiaTheme="minorHAnsi" w:hAnsi="Calibri" w:cs="Calibri"/>
          <w:lang w:val="sr-Latn-RS"/>
        </w:rPr>
        <w:t>:</w:t>
      </w:r>
    </w:p>
    <w:p w:rsidR="00EE3789" w:rsidRPr="000443A3" w:rsidRDefault="00EE3789" w:rsidP="009A664F">
      <w:pPr>
        <w:widowControl w:val="0"/>
        <w:autoSpaceDE w:val="0"/>
        <w:autoSpaceDN w:val="0"/>
        <w:adjustRightInd w:val="0"/>
        <w:jc w:val="both"/>
        <w:rPr>
          <w:highlight w:val="yellow"/>
          <w:lang w:val="sr-Cyrl-C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00648F" w:rsidRPr="00B84109" w:rsidTr="006A225A">
        <w:trPr>
          <w:jc w:val="center"/>
        </w:trPr>
        <w:tc>
          <w:tcPr>
            <w:tcW w:w="9046" w:type="dxa"/>
          </w:tcPr>
          <w:p w:rsidR="009A664F" w:rsidRPr="00B84109" w:rsidRDefault="00B84109" w:rsidP="00B94652">
            <w:pPr>
              <w:spacing w:before="120" w:after="120"/>
              <w:jc w:val="both"/>
              <w:rPr>
                <w:lang w:val="sr-Cyrl-CS"/>
              </w:rPr>
            </w:pPr>
            <w:r w:rsidRPr="00560696">
              <w:rPr>
                <w:b/>
                <w:lang w:val="sr-Cyrl-RS"/>
              </w:rPr>
              <w:t>„</w:t>
            </w:r>
            <w:proofErr w:type="spellStart"/>
            <w:r w:rsidRPr="00560696">
              <w:rPr>
                <w:b/>
                <w:lang w:val="en-US"/>
              </w:rPr>
              <w:t>Paragraf</w:t>
            </w:r>
            <w:proofErr w:type="spellEnd"/>
            <w:r w:rsidRPr="00560696">
              <w:rPr>
                <w:b/>
                <w:lang w:val="en-US"/>
              </w:rPr>
              <w:t xml:space="preserve"> Lex</w:t>
            </w:r>
            <w:r w:rsidRPr="00560696">
              <w:rPr>
                <w:b/>
                <w:lang w:val="sr-Cyrl-RS"/>
              </w:rPr>
              <w:t>“</w:t>
            </w:r>
            <w:r w:rsidRPr="00560696">
              <w:rPr>
                <w:b/>
                <w:lang w:val="en-US"/>
              </w:rPr>
              <w:t xml:space="preserve"> </w:t>
            </w:r>
            <w:r w:rsidRPr="00560696">
              <w:rPr>
                <w:b/>
                <w:lang w:val="sr-Cyrl-RS"/>
              </w:rPr>
              <w:t>д.о.о. Нови Сад</w:t>
            </w:r>
            <w:r w:rsidRPr="00B84109">
              <w:rPr>
                <w:lang w:val="sr-Cyrl-RS"/>
              </w:rPr>
              <w:t>, ул. Јована Бошковића 5/</w:t>
            </w:r>
            <w:r w:rsidRPr="00B84109">
              <w:rPr>
                <w:lang w:val="en-US"/>
              </w:rPr>
              <w:t>I/</w:t>
            </w:r>
            <w:r w:rsidRPr="00B84109">
              <w:rPr>
                <w:lang w:val="sr-Cyrl-RS"/>
              </w:rPr>
              <w:t xml:space="preserve">2, 21000 Нови Сад; ПИБ: 104830593; Матични број: 20240156; е-маил: </w:t>
            </w:r>
            <w:r w:rsidRPr="00B84109">
              <w:rPr>
                <w:lang w:val="en-US"/>
              </w:rPr>
              <w:t>redakcija@paragraf.rs</w:t>
            </w:r>
            <w:r w:rsidR="004867EA" w:rsidRPr="00B84109">
              <w:rPr>
                <w:lang w:val="sr-Cyrl-CS"/>
              </w:rPr>
              <w:t>.</w:t>
            </w:r>
          </w:p>
        </w:tc>
      </w:tr>
    </w:tbl>
    <w:p w:rsidR="009A664F" w:rsidRPr="000443A3" w:rsidRDefault="009A664F" w:rsidP="0000648F">
      <w:pPr>
        <w:rPr>
          <w:b/>
          <w:color w:val="000000"/>
          <w:highlight w:val="yellow"/>
          <w:lang w:val="sr-Cyrl-RS"/>
        </w:rPr>
      </w:pPr>
    </w:p>
    <w:p w:rsidR="0000648F" w:rsidRPr="00B84109" w:rsidRDefault="00B94652" w:rsidP="0000648F">
      <w:pPr>
        <w:rPr>
          <w:lang w:val="sr-Cyrl-RS"/>
        </w:rPr>
      </w:pPr>
      <w:r w:rsidRPr="00B84109">
        <w:rPr>
          <w:color w:val="000000"/>
          <w:lang w:val="sr-Cyrl-RS"/>
        </w:rPr>
        <w:t>Остале информације</w:t>
      </w:r>
      <w:r w:rsidR="009A664F" w:rsidRPr="00B84109">
        <w:rPr>
          <w:color w:val="000000"/>
        </w:rPr>
        <w:t>:</w:t>
      </w:r>
    </w:p>
    <w:p w:rsidR="0000648F" w:rsidRPr="00B84109" w:rsidRDefault="0000648F" w:rsidP="0000648F">
      <w:pPr>
        <w:rPr>
          <w:lang w:val="sr-Cyrl-RS"/>
        </w:rPr>
      </w:pPr>
    </w:p>
    <w:tbl>
      <w:tblPr>
        <w:tblW w:w="9046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9A664F" w:rsidRPr="00967E3E" w:rsidTr="006A225A">
        <w:trPr>
          <w:jc w:val="center"/>
        </w:trPr>
        <w:tc>
          <w:tcPr>
            <w:tcW w:w="9046" w:type="dxa"/>
          </w:tcPr>
          <w:p w:rsidR="009A664F" w:rsidRPr="009A664F" w:rsidRDefault="00B94652" w:rsidP="00B94652">
            <w:pPr>
              <w:spacing w:before="120" w:after="120"/>
              <w:jc w:val="both"/>
              <w:rPr>
                <w:b/>
                <w:lang w:val="sr-Cyrl-CS"/>
              </w:rPr>
            </w:pPr>
            <w:r w:rsidRPr="00B84109">
              <w:rPr>
                <w:color w:val="000000"/>
              </w:rPr>
              <w:t xml:space="preserve">e-mail: </w:t>
            </w:r>
            <w:hyperlink r:id="rId7" w:history="1">
              <w:r w:rsidRPr="00B84109">
                <w:rPr>
                  <w:rStyle w:val="Hyperlink"/>
                  <w:color w:val="FF0000"/>
                  <w:lang w:val="sr-Latn-RS"/>
                </w:rPr>
                <w:t>tender</w:t>
              </w:r>
              <w:r w:rsidRPr="00B84109">
                <w:rPr>
                  <w:rStyle w:val="Hyperlink"/>
                  <w:color w:val="FF0000"/>
                  <w:lang w:val="en-US"/>
                </w:rPr>
                <w:t>@piu.rs</w:t>
              </w:r>
            </w:hyperlink>
          </w:p>
        </w:tc>
      </w:tr>
    </w:tbl>
    <w:p w:rsidR="0000648F" w:rsidRDefault="0000648F" w:rsidP="0000648F">
      <w:pPr>
        <w:rPr>
          <w:lang w:val="sr-Cyrl-RS"/>
        </w:rPr>
      </w:pPr>
    </w:p>
    <w:p w:rsidR="0000648F" w:rsidRPr="0000648F" w:rsidRDefault="0000648F" w:rsidP="0000648F">
      <w:pPr>
        <w:rPr>
          <w:lang w:val="sr-Cyrl-RS"/>
        </w:rPr>
      </w:pPr>
    </w:p>
    <w:sectPr w:rsidR="0000648F" w:rsidRPr="0000648F" w:rsidSect="009137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3EC4"/>
    <w:multiLevelType w:val="hybridMultilevel"/>
    <w:tmpl w:val="D7DC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452B6"/>
    <w:multiLevelType w:val="hybridMultilevel"/>
    <w:tmpl w:val="6F08F29C"/>
    <w:lvl w:ilvl="0" w:tplc="D85E0A2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9990B32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BD"/>
    <w:rsid w:val="0000648F"/>
    <w:rsid w:val="000443A3"/>
    <w:rsid w:val="000C399E"/>
    <w:rsid w:val="00181A09"/>
    <w:rsid w:val="001B2152"/>
    <w:rsid w:val="001E53C8"/>
    <w:rsid w:val="00226C25"/>
    <w:rsid w:val="002F384F"/>
    <w:rsid w:val="00355297"/>
    <w:rsid w:val="003E3B6C"/>
    <w:rsid w:val="004322FA"/>
    <w:rsid w:val="00436065"/>
    <w:rsid w:val="00440DF8"/>
    <w:rsid w:val="004867EA"/>
    <w:rsid w:val="00560696"/>
    <w:rsid w:val="00570F09"/>
    <w:rsid w:val="005A269D"/>
    <w:rsid w:val="00600FC6"/>
    <w:rsid w:val="006C7A8F"/>
    <w:rsid w:val="007D5BBF"/>
    <w:rsid w:val="00816BE8"/>
    <w:rsid w:val="00842BB6"/>
    <w:rsid w:val="00857F02"/>
    <w:rsid w:val="0091376C"/>
    <w:rsid w:val="00945DC1"/>
    <w:rsid w:val="00987352"/>
    <w:rsid w:val="009A664F"/>
    <w:rsid w:val="009D6BBD"/>
    <w:rsid w:val="009F12CE"/>
    <w:rsid w:val="00A316B5"/>
    <w:rsid w:val="00B84109"/>
    <w:rsid w:val="00B94652"/>
    <w:rsid w:val="00BC1C24"/>
    <w:rsid w:val="00BF6BAA"/>
    <w:rsid w:val="00CF2700"/>
    <w:rsid w:val="00D45035"/>
    <w:rsid w:val="00E330C3"/>
    <w:rsid w:val="00EA7605"/>
    <w:rsid w:val="00ED0081"/>
    <w:rsid w:val="00EE3789"/>
    <w:rsid w:val="00F00285"/>
    <w:rsid w:val="00F5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BBD"/>
    <w:pPr>
      <w:keepNext/>
      <w:tabs>
        <w:tab w:val="center" w:pos="4677"/>
      </w:tabs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BB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D6BBD"/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9D6BBD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0064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BBD"/>
    <w:pPr>
      <w:keepNext/>
      <w:tabs>
        <w:tab w:val="center" w:pos="4677"/>
      </w:tabs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BB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D6BBD"/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9D6BBD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0064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nder@pi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Vojvodić</dc:creator>
  <cp:lastModifiedBy>JUPdesk</cp:lastModifiedBy>
  <cp:revision>8</cp:revision>
  <dcterms:created xsi:type="dcterms:W3CDTF">2015-07-16T07:08:00Z</dcterms:created>
  <dcterms:modified xsi:type="dcterms:W3CDTF">2015-07-16T07:47:00Z</dcterms:modified>
</cp:coreProperties>
</file>