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FFA3D" w14:textId="77777777" w:rsidR="00A92081" w:rsidRPr="00C13DF4" w:rsidRDefault="00A92081" w:rsidP="00E42E7B">
      <w:pPr>
        <w:spacing w:before="60" w:after="60" w:line="240" w:lineRule="auto"/>
        <w:rPr>
          <w:rFonts w:ascii="Times New Roman" w:hAnsi="Times New Roman" w:cs="Times New Roman"/>
          <w:sz w:val="24"/>
          <w:szCs w:val="24"/>
        </w:rPr>
      </w:pPr>
    </w:p>
    <w:tbl>
      <w:tblPr>
        <w:tblW w:w="5000" w:type="pct"/>
        <w:tblCellMar>
          <w:left w:w="10" w:type="dxa"/>
          <w:right w:w="10" w:type="dxa"/>
        </w:tblCellMar>
        <w:tblLook w:val="0000" w:firstRow="0" w:lastRow="0" w:firstColumn="0" w:lastColumn="0" w:noHBand="0" w:noVBand="0"/>
      </w:tblPr>
      <w:tblGrid>
        <w:gridCol w:w="478"/>
        <w:gridCol w:w="3607"/>
        <w:gridCol w:w="5537"/>
      </w:tblGrid>
      <w:tr w:rsidR="00421C6D" w:rsidRPr="00C13DF4" w14:paraId="50F31B5D" w14:textId="77777777" w:rsidTr="00D46B3C">
        <w:tc>
          <w:tcPr>
            <w:tcW w:w="383" w:type="pct"/>
            <w:shd w:val="clear" w:color="auto" w:fill="FFFFFF"/>
            <w:tcMar>
              <w:top w:w="0" w:type="dxa"/>
              <w:left w:w="108" w:type="dxa"/>
              <w:bottom w:w="0" w:type="dxa"/>
              <w:right w:w="108" w:type="dxa"/>
            </w:tcMar>
          </w:tcPr>
          <w:p w14:paraId="326FEAE6" w14:textId="77777777" w:rsidR="00421C6D" w:rsidRPr="00C13DF4" w:rsidRDefault="00421C6D" w:rsidP="00D46B3C">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0A935366" w14:textId="77777777" w:rsidR="00421C6D" w:rsidRPr="00C13DF4" w:rsidRDefault="00F5074E" w:rsidP="00736B96">
            <w:pPr>
              <w:spacing w:before="60" w:after="60" w:line="240" w:lineRule="auto"/>
              <w:jc w:val="center"/>
              <w:rPr>
                <w:rFonts w:ascii="Times New Roman" w:hAnsi="Times New Roman" w:cs="Times New Roman"/>
                <w:b/>
                <w:sz w:val="24"/>
                <w:szCs w:val="24"/>
                <w:lang w:val="sr-Latn-CS"/>
              </w:rPr>
            </w:pPr>
            <w:r w:rsidRPr="00C13DF4">
              <w:rPr>
                <w:rFonts w:ascii="Times New Roman" w:hAnsi="Times New Roman" w:cs="Times New Roman"/>
                <w:b/>
                <w:sz w:val="24"/>
                <w:szCs w:val="24"/>
                <w:lang w:val="sr-Latn-CS"/>
              </w:rPr>
              <w:t>Nabavka</w:t>
            </w:r>
            <w:r w:rsidR="0074669E" w:rsidRPr="00C13DF4">
              <w:rPr>
                <w:rFonts w:ascii="Times New Roman" w:hAnsi="Times New Roman" w:cs="Times New Roman"/>
                <w:b/>
                <w:sz w:val="24"/>
                <w:szCs w:val="24"/>
                <w:lang w:val="sr-Latn-CS"/>
              </w:rPr>
              <w:t xml:space="preserve"> </w:t>
            </w:r>
            <w:r w:rsidR="00736B96">
              <w:rPr>
                <w:rFonts w:ascii="Times New Roman" w:hAnsi="Times New Roman" w:cs="Times New Roman"/>
                <w:b/>
                <w:sz w:val="24"/>
                <w:szCs w:val="24"/>
                <w:lang w:val="sr-Latn-CS"/>
              </w:rPr>
              <w:t>građevinskog materijala</w:t>
            </w:r>
          </w:p>
        </w:tc>
      </w:tr>
      <w:tr w:rsidR="002D6E25" w:rsidRPr="00A443AD" w14:paraId="20490728" w14:textId="77777777" w:rsidTr="00083F35">
        <w:tc>
          <w:tcPr>
            <w:tcW w:w="383" w:type="pct"/>
            <w:shd w:val="clear" w:color="auto" w:fill="FFFFFF"/>
            <w:tcMar>
              <w:top w:w="0" w:type="dxa"/>
              <w:left w:w="108" w:type="dxa"/>
              <w:bottom w:w="0" w:type="dxa"/>
              <w:right w:w="108" w:type="dxa"/>
            </w:tcMar>
          </w:tcPr>
          <w:p w14:paraId="196D982D" w14:textId="77777777" w:rsidR="002D6E25" w:rsidRPr="00C13DF4"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1C73C493" w14:textId="77777777" w:rsidR="002D6E25" w:rsidRPr="00A443AD" w:rsidRDefault="00F5074E" w:rsidP="003779ED">
            <w:pPr>
              <w:spacing w:before="60" w:after="60" w:line="240" w:lineRule="auto"/>
              <w:jc w:val="center"/>
              <w:rPr>
                <w:rFonts w:ascii="Times New Roman" w:hAnsi="Times New Roman" w:cs="Times New Roman"/>
                <w:sz w:val="24"/>
                <w:szCs w:val="24"/>
                <w:lang w:val="sr-Latn-CS"/>
              </w:rPr>
            </w:pPr>
            <w:r w:rsidRPr="00A443AD">
              <w:rPr>
                <w:rFonts w:ascii="Times New Roman" w:hAnsi="Times New Roman" w:cs="Times New Roman"/>
                <w:b/>
                <w:sz w:val="24"/>
                <w:szCs w:val="24"/>
                <w:lang w:val="sr-Latn-CS"/>
              </w:rPr>
              <w:t>OBAVEŠTENJE</w:t>
            </w:r>
            <w:r w:rsidR="003779ED" w:rsidRPr="00A443AD">
              <w:rPr>
                <w:rFonts w:ascii="Times New Roman" w:hAnsi="Times New Roman" w:cs="Times New Roman"/>
                <w:b/>
                <w:sz w:val="24"/>
                <w:szCs w:val="24"/>
                <w:lang w:val="sr-Latn-CS"/>
              </w:rPr>
              <w:t xml:space="preserve"> </w:t>
            </w:r>
            <w:r w:rsidRPr="00A443AD">
              <w:rPr>
                <w:rFonts w:ascii="Times New Roman" w:hAnsi="Times New Roman" w:cs="Times New Roman"/>
                <w:b/>
                <w:sz w:val="24"/>
                <w:szCs w:val="24"/>
                <w:lang w:val="sr-Latn-CS"/>
              </w:rPr>
              <w:t>O</w:t>
            </w:r>
            <w:r w:rsidR="003779ED" w:rsidRPr="00A443AD">
              <w:rPr>
                <w:rFonts w:ascii="Times New Roman" w:hAnsi="Times New Roman" w:cs="Times New Roman"/>
                <w:b/>
                <w:sz w:val="24"/>
                <w:szCs w:val="24"/>
                <w:lang w:val="sr-Latn-CS"/>
              </w:rPr>
              <w:t xml:space="preserve"> </w:t>
            </w:r>
            <w:r w:rsidRPr="00A443AD">
              <w:rPr>
                <w:rFonts w:ascii="Times New Roman" w:hAnsi="Times New Roman" w:cs="Times New Roman"/>
                <w:b/>
                <w:sz w:val="24"/>
                <w:szCs w:val="24"/>
                <w:lang w:val="sr-Latn-CS"/>
              </w:rPr>
              <w:t>POKRETANJU</w:t>
            </w:r>
            <w:r w:rsidR="003779ED" w:rsidRPr="00A443AD">
              <w:rPr>
                <w:rFonts w:ascii="Times New Roman" w:hAnsi="Times New Roman" w:cs="Times New Roman"/>
                <w:b/>
                <w:sz w:val="24"/>
                <w:szCs w:val="24"/>
                <w:lang w:val="sr-Latn-CS"/>
              </w:rPr>
              <w:t xml:space="preserve"> </w:t>
            </w:r>
            <w:r w:rsidRPr="00A443AD">
              <w:rPr>
                <w:rFonts w:ascii="Times New Roman" w:hAnsi="Times New Roman" w:cs="Times New Roman"/>
                <w:b/>
                <w:sz w:val="24"/>
                <w:szCs w:val="24"/>
                <w:lang w:val="sr-Latn-CS"/>
              </w:rPr>
              <w:t>JAVNE</w:t>
            </w:r>
            <w:r w:rsidR="003779ED" w:rsidRPr="00A443AD">
              <w:rPr>
                <w:rFonts w:ascii="Times New Roman" w:hAnsi="Times New Roman" w:cs="Times New Roman"/>
                <w:b/>
                <w:sz w:val="24"/>
                <w:szCs w:val="24"/>
                <w:lang w:val="sr-Latn-CS"/>
              </w:rPr>
              <w:t xml:space="preserve"> </w:t>
            </w:r>
            <w:r w:rsidRPr="00A443AD">
              <w:rPr>
                <w:rFonts w:ascii="Times New Roman" w:hAnsi="Times New Roman" w:cs="Times New Roman"/>
                <w:b/>
                <w:sz w:val="24"/>
                <w:szCs w:val="24"/>
                <w:lang w:val="sr-Latn-CS"/>
              </w:rPr>
              <w:t>NABAVKE</w:t>
            </w:r>
            <w:r w:rsidR="003779ED" w:rsidRPr="00A443AD">
              <w:rPr>
                <w:rFonts w:ascii="Times New Roman" w:hAnsi="Times New Roman" w:cs="Times New Roman"/>
                <w:b/>
                <w:sz w:val="24"/>
                <w:szCs w:val="24"/>
                <w:lang w:val="sr-Latn-CS"/>
              </w:rPr>
              <w:t xml:space="preserve"> – </w:t>
            </w:r>
            <w:r w:rsidR="00CB5A12" w:rsidRPr="00A443AD">
              <w:rPr>
                <w:rFonts w:ascii="Times New Roman" w:hAnsi="Times New Roman" w:cs="Times New Roman"/>
                <w:b/>
                <w:sz w:val="24"/>
                <w:szCs w:val="24"/>
                <w:lang w:val="sr-Latn-CS"/>
              </w:rPr>
              <w:t xml:space="preserve">MEĐUNARODNI </w:t>
            </w:r>
            <w:r w:rsidRPr="00A443AD">
              <w:rPr>
                <w:rFonts w:ascii="Times New Roman" w:hAnsi="Times New Roman" w:cs="Times New Roman"/>
                <w:b/>
                <w:sz w:val="24"/>
                <w:szCs w:val="24"/>
                <w:lang w:val="sr-Latn-CS"/>
              </w:rPr>
              <w:t>OTVORENI</w:t>
            </w:r>
            <w:r w:rsidR="003779ED" w:rsidRPr="00A443AD">
              <w:rPr>
                <w:rFonts w:ascii="Times New Roman" w:hAnsi="Times New Roman" w:cs="Times New Roman"/>
                <w:b/>
                <w:sz w:val="24"/>
                <w:szCs w:val="24"/>
                <w:lang w:val="sr-Latn-CS"/>
              </w:rPr>
              <w:t xml:space="preserve"> </w:t>
            </w:r>
            <w:r w:rsidRPr="00A443AD">
              <w:rPr>
                <w:rFonts w:ascii="Times New Roman" w:hAnsi="Times New Roman" w:cs="Times New Roman"/>
                <w:b/>
                <w:sz w:val="24"/>
                <w:szCs w:val="24"/>
                <w:lang w:val="sr-Latn-CS"/>
              </w:rPr>
              <w:t>POSTUPAK</w:t>
            </w:r>
          </w:p>
        </w:tc>
      </w:tr>
      <w:tr w:rsidR="002D6E25" w:rsidRPr="00C13DF4" w14:paraId="0E422FB2" w14:textId="77777777" w:rsidTr="00083F35">
        <w:trPr>
          <w:trHeight w:val="232"/>
        </w:trPr>
        <w:tc>
          <w:tcPr>
            <w:tcW w:w="383" w:type="pct"/>
            <w:shd w:val="clear" w:color="auto" w:fill="FFFFFF"/>
            <w:tcMar>
              <w:top w:w="0" w:type="dxa"/>
              <w:left w:w="108" w:type="dxa"/>
              <w:bottom w:w="0" w:type="dxa"/>
              <w:right w:w="108" w:type="dxa"/>
            </w:tcMar>
          </w:tcPr>
          <w:p w14:paraId="2CA45583" w14:textId="77777777" w:rsidR="002D6E25" w:rsidRPr="00C13DF4"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37713D1C" w14:textId="77777777" w:rsidR="002D6E25" w:rsidRPr="00C13DF4" w:rsidRDefault="002D6E25" w:rsidP="00083F35">
            <w:pPr>
              <w:spacing w:before="60" w:after="60" w:line="240" w:lineRule="auto"/>
              <w:rPr>
                <w:rFonts w:ascii="Times New Roman" w:hAnsi="Times New Roman" w:cs="Times New Roman"/>
                <w:sz w:val="24"/>
                <w:szCs w:val="24"/>
              </w:rPr>
            </w:pPr>
          </w:p>
        </w:tc>
      </w:tr>
      <w:tr w:rsidR="002D6E25" w:rsidRPr="00C13DF4" w14:paraId="7AFA1005" w14:textId="77777777" w:rsidTr="00EB693E">
        <w:trPr>
          <w:trHeight w:val="430"/>
        </w:trPr>
        <w:tc>
          <w:tcPr>
            <w:tcW w:w="383" w:type="pct"/>
            <w:shd w:val="clear" w:color="auto" w:fill="FFFFFF"/>
            <w:tcMar>
              <w:top w:w="0" w:type="dxa"/>
              <w:left w:w="108" w:type="dxa"/>
              <w:bottom w:w="0" w:type="dxa"/>
              <w:right w:w="108" w:type="dxa"/>
            </w:tcMar>
          </w:tcPr>
          <w:p w14:paraId="1C2C6EF2"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6FA904FD" w14:textId="77777777" w:rsidR="002D6E25" w:rsidRPr="00DA6B3F" w:rsidRDefault="00F5074E" w:rsidP="003779ED">
            <w:pPr>
              <w:spacing w:before="60" w:after="60" w:line="240" w:lineRule="auto"/>
              <w:rPr>
                <w:rFonts w:ascii="Times New Roman" w:hAnsi="Times New Roman" w:cs="Times New Roman"/>
                <w:sz w:val="24"/>
                <w:szCs w:val="24"/>
              </w:rPr>
            </w:pPr>
            <w:r w:rsidRPr="00DA6B3F">
              <w:rPr>
                <w:rFonts w:ascii="Times New Roman" w:hAnsi="Times New Roman" w:cs="Times New Roman"/>
                <w:sz w:val="24"/>
                <w:szCs w:val="24"/>
                <w:lang w:val="sr-Latn-CS"/>
              </w:rPr>
              <w:t>Broj</w:t>
            </w:r>
            <w:r w:rsidR="00CB56B2" w:rsidRPr="00DA6B3F">
              <w:rPr>
                <w:rFonts w:ascii="Times New Roman" w:hAnsi="Times New Roman" w:cs="Times New Roman"/>
                <w:sz w:val="24"/>
                <w:szCs w:val="24"/>
                <w:lang w:val="sr-Latn-CS"/>
              </w:rPr>
              <w:t xml:space="preserve"> </w:t>
            </w:r>
            <w:r w:rsidRPr="00DA6B3F">
              <w:rPr>
                <w:rFonts w:ascii="Times New Roman" w:hAnsi="Times New Roman" w:cs="Times New Roman"/>
                <w:sz w:val="24"/>
                <w:szCs w:val="24"/>
                <w:lang w:val="sr-Latn-CS"/>
              </w:rPr>
              <w:t>publikacije</w:t>
            </w:r>
            <w:r w:rsidR="004511C2" w:rsidRPr="00DA6B3F">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42315E43" w14:textId="2686DCAF" w:rsidR="002D6E25" w:rsidRPr="00DA6B3F" w:rsidRDefault="006768BA" w:rsidP="009C6217">
            <w:pPr>
              <w:spacing w:before="60" w:after="60" w:line="240" w:lineRule="auto"/>
              <w:rPr>
                <w:rFonts w:ascii="Times New Roman" w:hAnsi="Times New Roman" w:cs="Times New Roman"/>
                <w:sz w:val="24"/>
                <w:szCs w:val="24"/>
              </w:rPr>
            </w:pPr>
            <w:r w:rsidRPr="00DA6B3F">
              <w:rPr>
                <w:rFonts w:ascii="Times New Roman" w:hAnsi="Times New Roman" w:cs="Times New Roman"/>
                <w:sz w:val="24"/>
                <w:szCs w:val="24"/>
                <w:lang w:val="en-GB"/>
              </w:rPr>
              <w:t>RHP-W3</w:t>
            </w:r>
            <w:r w:rsidR="00736B96" w:rsidRPr="00DA6B3F">
              <w:rPr>
                <w:rFonts w:ascii="Times New Roman" w:hAnsi="Times New Roman" w:cs="Times New Roman"/>
                <w:sz w:val="24"/>
                <w:szCs w:val="24"/>
                <w:lang w:val="en-GB"/>
              </w:rPr>
              <w:t>-CM/IOP1</w:t>
            </w:r>
            <w:r w:rsidR="00D30797" w:rsidRPr="00DA6B3F">
              <w:rPr>
                <w:rFonts w:ascii="Times New Roman" w:hAnsi="Times New Roman" w:cs="Times New Roman"/>
                <w:sz w:val="24"/>
                <w:szCs w:val="24"/>
                <w:lang w:val="en-GB"/>
              </w:rPr>
              <w:t>-2016</w:t>
            </w:r>
          </w:p>
        </w:tc>
      </w:tr>
      <w:tr w:rsidR="002D6E25" w:rsidRPr="00C13DF4" w14:paraId="222DCE51" w14:textId="77777777" w:rsidTr="00EB693E">
        <w:trPr>
          <w:trHeight w:val="280"/>
        </w:trPr>
        <w:tc>
          <w:tcPr>
            <w:tcW w:w="383" w:type="pct"/>
            <w:shd w:val="clear" w:color="auto" w:fill="FFFFFF"/>
            <w:tcMar>
              <w:top w:w="0" w:type="dxa"/>
              <w:left w:w="108" w:type="dxa"/>
              <w:bottom w:w="0" w:type="dxa"/>
              <w:right w:w="108" w:type="dxa"/>
            </w:tcMar>
          </w:tcPr>
          <w:p w14:paraId="66458E4B"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570C477"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4630DF75" w14:textId="77777777" w:rsidTr="00EB693E">
        <w:trPr>
          <w:trHeight w:val="2882"/>
        </w:trPr>
        <w:tc>
          <w:tcPr>
            <w:tcW w:w="383" w:type="pct"/>
            <w:shd w:val="clear" w:color="auto" w:fill="FFFFFF"/>
            <w:tcMar>
              <w:top w:w="0" w:type="dxa"/>
              <w:left w:w="108" w:type="dxa"/>
              <w:bottom w:w="0" w:type="dxa"/>
              <w:right w:w="108" w:type="dxa"/>
            </w:tcMar>
          </w:tcPr>
          <w:p w14:paraId="5250BF09"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7EBD8C4A" w14:textId="77777777" w:rsidR="002D6E25" w:rsidRPr="00C13DF4" w:rsidRDefault="00F5074E" w:rsidP="003779ED">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Program</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finansiranje</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48BBF2C9" w14:textId="77777777" w:rsidR="00FD5E00" w:rsidRPr="00DA6B3F" w:rsidRDefault="00F5074E" w:rsidP="00B172D4">
            <w:pPr>
              <w:tabs>
                <w:tab w:val="clear" w:pos="720"/>
                <w:tab w:val="left" w:pos="459"/>
              </w:tabs>
              <w:spacing w:before="60" w:after="60" w:line="240" w:lineRule="auto"/>
              <w:jc w:val="both"/>
              <w:rPr>
                <w:rFonts w:ascii="Times New Roman" w:hAnsi="Times New Roman" w:cs="Times New Roman"/>
                <w:i/>
                <w:sz w:val="24"/>
                <w:szCs w:val="24"/>
              </w:rPr>
            </w:pPr>
            <w:r w:rsidRPr="00C13DF4">
              <w:rPr>
                <w:rFonts w:ascii="Times New Roman" w:hAnsi="Times New Roman" w:cs="Times New Roman"/>
                <w:i/>
                <w:sz w:val="24"/>
                <w:szCs w:val="24"/>
                <w:lang w:val="sr-Latn-CS"/>
              </w:rPr>
              <w:t>Zajednički</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regionalni</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program</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o</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trajnim</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rešenjima</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za</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izbeglice</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i</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raseljena</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lica</w:t>
            </w:r>
            <w:r w:rsidR="00FD5E00" w:rsidRPr="00C13DF4">
              <w:rPr>
                <w:rFonts w:ascii="Times New Roman" w:hAnsi="Times New Roman" w:cs="Times New Roman"/>
                <w:i/>
                <w:sz w:val="24"/>
                <w:szCs w:val="24"/>
                <w:lang w:val="sr-Latn-CS"/>
              </w:rPr>
              <w:t xml:space="preserve"> </w:t>
            </w:r>
            <w:r w:rsidR="00FD5E00" w:rsidRPr="00C13DF4">
              <w:rPr>
                <w:rFonts w:ascii="Times New Roman" w:hAnsi="Times New Roman" w:cs="Times New Roman"/>
                <w:i/>
                <w:sz w:val="24"/>
                <w:szCs w:val="24"/>
              </w:rPr>
              <w:t>(</w:t>
            </w:r>
            <w:r w:rsidRPr="00C13DF4">
              <w:rPr>
                <w:rFonts w:ascii="Times New Roman" w:hAnsi="Times New Roman" w:cs="Times New Roman"/>
                <w:i/>
                <w:sz w:val="24"/>
                <w:szCs w:val="24"/>
                <w:lang w:val="en-US"/>
              </w:rPr>
              <w:t>Regional</w:t>
            </w:r>
            <w:r w:rsidR="00BA0697" w:rsidRPr="00C13DF4">
              <w:rPr>
                <w:rFonts w:ascii="Times New Roman" w:hAnsi="Times New Roman" w:cs="Times New Roman"/>
                <w:i/>
                <w:sz w:val="24"/>
                <w:szCs w:val="24"/>
                <w:lang w:val="en-US"/>
              </w:rPr>
              <w:t xml:space="preserve"> Housing Programme </w:t>
            </w:r>
            <w:r w:rsidR="00E60549" w:rsidRPr="00C13DF4">
              <w:rPr>
                <w:rFonts w:ascii="Times New Roman" w:hAnsi="Times New Roman" w:cs="Times New Roman"/>
                <w:i/>
                <w:sz w:val="24"/>
                <w:szCs w:val="24"/>
              </w:rPr>
              <w:t xml:space="preserve">– </w:t>
            </w:r>
            <w:r w:rsidR="00BA0697" w:rsidRPr="00C13DF4">
              <w:rPr>
                <w:rFonts w:ascii="Times New Roman" w:hAnsi="Times New Roman" w:cs="Times New Roman"/>
                <w:i/>
                <w:sz w:val="24"/>
                <w:szCs w:val="24"/>
                <w:lang w:val="en-US"/>
              </w:rPr>
              <w:t>RHP</w:t>
            </w:r>
            <w:r w:rsidR="00E60549" w:rsidRPr="00C13DF4">
              <w:rPr>
                <w:rFonts w:ascii="Times New Roman" w:hAnsi="Times New Roman" w:cs="Times New Roman"/>
                <w:i/>
                <w:sz w:val="24"/>
                <w:szCs w:val="24"/>
              </w:rPr>
              <w:t xml:space="preserve">/ </w:t>
            </w:r>
            <w:r w:rsidRPr="00C13DF4">
              <w:rPr>
                <w:rFonts w:ascii="Times New Roman" w:hAnsi="Times New Roman" w:cs="Times New Roman"/>
                <w:i/>
                <w:sz w:val="24"/>
                <w:szCs w:val="24"/>
                <w:lang w:val="sr-Latn-CS"/>
              </w:rPr>
              <w:t>Program</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stambenog</w:t>
            </w:r>
            <w:r w:rsidR="00BA0697"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zbrinjavanja</w:t>
            </w:r>
            <w:r w:rsidR="00BA0697"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u</w:t>
            </w:r>
            <w:r w:rsidR="00BA0697" w:rsidRPr="00C13DF4">
              <w:rPr>
                <w:rFonts w:ascii="Times New Roman" w:hAnsi="Times New Roman" w:cs="Times New Roman"/>
                <w:i/>
                <w:sz w:val="24"/>
                <w:szCs w:val="24"/>
                <w:lang w:val="sr-Latn-CS"/>
              </w:rPr>
              <w:t xml:space="preserve"> </w:t>
            </w:r>
            <w:r w:rsidRPr="00DA6B3F">
              <w:rPr>
                <w:rFonts w:ascii="Times New Roman" w:hAnsi="Times New Roman" w:cs="Times New Roman"/>
                <w:i/>
                <w:sz w:val="24"/>
                <w:szCs w:val="24"/>
                <w:lang w:val="sr-Latn-CS"/>
              </w:rPr>
              <w:t>Republici</w:t>
            </w:r>
            <w:r w:rsidR="00BA0697" w:rsidRPr="00DA6B3F">
              <w:rPr>
                <w:rFonts w:ascii="Times New Roman" w:hAnsi="Times New Roman" w:cs="Times New Roman"/>
                <w:i/>
                <w:sz w:val="24"/>
                <w:szCs w:val="24"/>
                <w:lang w:val="sr-Latn-CS"/>
              </w:rPr>
              <w:t xml:space="preserve"> </w:t>
            </w:r>
            <w:r w:rsidRPr="00DA6B3F">
              <w:rPr>
                <w:rFonts w:ascii="Times New Roman" w:hAnsi="Times New Roman" w:cs="Times New Roman"/>
                <w:i/>
                <w:sz w:val="24"/>
                <w:szCs w:val="24"/>
                <w:lang w:val="sr-Latn-CS"/>
              </w:rPr>
              <w:t>Srbiji</w:t>
            </w:r>
            <w:r w:rsidR="00E60549" w:rsidRPr="00DA6B3F">
              <w:rPr>
                <w:rFonts w:ascii="Times New Roman" w:hAnsi="Times New Roman" w:cs="Times New Roman"/>
                <w:i/>
                <w:sz w:val="24"/>
                <w:szCs w:val="24"/>
                <w:lang w:val="sr-Latn-CS"/>
              </w:rPr>
              <w:t>)</w:t>
            </w:r>
          </w:p>
          <w:p w14:paraId="6D5DE541" w14:textId="77777777" w:rsidR="002D6E25" w:rsidRPr="00C13DF4" w:rsidRDefault="00B172D4" w:rsidP="00F846DE">
            <w:pPr>
              <w:tabs>
                <w:tab w:val="clear" w:pos="720"/>
                <w:tab w:val="left" w:pos="459"/>
              </w:tabs>
              <w:spacing w:before="60" w:after="60" w:line="240" w:lineRule="auto"/>
              <w:jc w:val="both"/>
              <w:rPr>
                <w:rFonts w:ascii="Times New Roman" w:hAnsi="Times New Roman" w:cs="Times New Roman"/>
                <w:sz w:val="24"/>
                <w:szCs w:val="24"/>
              </w:rPr>
            </w:pPr>
            <w:r w:rsidRPr="00DA6B3F">
              <w:rPr>
                <w:rFonts w:ascii="Times New Roman" w:hAnsi="Times New Roman" w:cs="Times New Roman"/>
                <w:sz w:val="24"/>
                <w:szCs w:val="24"/>
              </w:rPr>
              <w:t>O</w:t>
            </w:r>
            <w:r w:rsidR="00F5074E" w:rsidRPr="00DA6B3F">
              <w:rPr>
                <w:rFonts w:ascii="Times New Roman" w:hAnsi="Times New Roman" w:cs="Times New Roman"/>
                <w:sz w:val="24"/>
                <w:szCs w:val="24"/>
              </w:rPr>
              <w:t>kvirni</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sporazum</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zaključen</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između</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Banke</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za</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razvoj</w:t>
            </w:r>
            <w:r w:rsidRPr="00DA6B3F">
              <w:rPr>
                <w:rFonts w:ascii="Times New Roman" w:hAnsi="Times New Roman" w:cs="Times New Roman"/>
                <w:sz w:val="24"/>
                <w:szCs w:val="24"/>
              </w:rPr>
              <w:t xml:space="preserve"> </w:t>
            </w:r>
            <w:r w:rsidR="004F2601" w:rsidRPr="00DA6B3F">
              <w:rPr>
                <w:rFonts w:ascii="Times New Roman" w:hAnsi="Times New Roman" w:cs="Times New Roman"/>
                <w:sz w:val="24"/>
                <w:szCs w:val="24"/>
              </w:rPr>
              <w:t>S</w:t>
            </w:r>
            <w:r w:rsidR="00F5074E" w:rsidRPr="00DA6B3F">
              <w:rPr>
                <w:rFonts w:ascii="Times New Roman" w:hAnsi="Times New Roman" w:cs="Times New Roman"/>
                <w:sz w:val="24"/>
                <w:szCs w:val="24"/>
              </w:rPr>
              <w:t>aveta</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Evrope</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i</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Republike</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Srbije</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u</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vezi</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sa</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Regionalnim</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programom</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stambenog</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zbrinjavanja</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potpisan</w:t>
            </w:r>
            <w:r w:rsidRPr="00DA6B3F">
              <w:rPr>
                <w:rFonts w:ascii="Times New Roman" w:hAnsi="Times New Roman" w:cs="Times New Roman"/>
                <w:sz w:val="24"/>
                <w:szCs w:val="24"/>
              </w:rPr>
              <w:t xml:space="preserve"> 25. </w:t>
            </w:r>
            <w:r w:rsidR="00F5074E" w:rsidRPr="00DA6B3F">
              <w:rPr>
                <w:rFonts w:ascii="Times New Roman" w:hAnsi="Times New Roman" w:cs="Times New Roman"/>
                <w:sz w:val="24"/>
                <w:szCs w:val="24"/>
              </w:rPr>
              <w:t>oktobra</w:t>
            </w:r>
            <w:r w:rsidRPr="00DA6B3F">
              <w:rPr>
                <w:rFonts w:ascii="Times New Roman" w:hAnsi="Times New Roman" w:cs="Times New Roman"/>
                <w:sz w:val="24"/>
                <w:szCs w:val="24"/>
              </w:rPr>
              <w:t xml:space="preserve"> 2013. </w:t>
            </w:r>
            <w:r w:rsidR="00F5074E" w:rsidRPr="00DA6B3F">
              <w:rPr>
                <w:rFonts w:ascii="Times New Roman" w:hAnsi="Times New Roman" w:cs="Times New Roman"/>
                <w:sz w:val="24"/>
                <w:szCs w:val="24"/>
              </w:rPr>
              <w:t>godine</w:t>
            </w:r>
            <w:r w:rsidR="007B61F7"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Ugovor</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o</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donaciji</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zaključen</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između</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Banke</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za</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razvoj</w:t>
            </w:r>
            <w:r w:rsidRPr="00DA6B3F">
              <w:rPr>
                <w:rFonts w:ascii="Times New Roman" w:hAnsi="Times New Roman" w:cs="Times New Roman"/>
                <w:sz w:val="24"/>
                <w:szCs w:val="24"/>
              </w:rPr>
              <w:t xml:space="preserve"> </w:t>
            </w:r>
            <w:r w:rsidR="004F2601" w:rsidRPr="00DA6B3F">
              <w:rPr>
                <w:rFonts w:ascii="Times New Roman" w:hAnsi="Times New Roman" w:cs="Times New Roman"/>
                <w:sz w:val="24"/>
                <w:szCs w:val="24"/>
              </w:rPr>
              <w:t>S</w:t>
            </w:r>
            <w:r w:rsidR="00F5074E" w:rsidRPr="00DA6B3F">
              <w:rPr>
                <w:rFonts w:ascii="Times New Roman" w:hAnsi="Times New Roman" w:cs="Times New Roman"/>
                <w:sz w:val="24"/>
                <w:szCs w:val="24"/>
              </w:rPr>
              <w:t>aveta</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Evrope</w:t>
            </w:r>
            <w:r w:rsidR="00FD5E00"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i</w:t>
            </w:r>
            <w:r w:rsidR="00FD5E00"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Republike</w:t>
            </w:r>
            <w:r w:rsidR="00FD5E00"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Srbije</w:t>
            </w:r>
            <w:r w:rsidR="00FD5E00"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u</w:t>
            </w:r>
            <w:r w:rsidR="00FD5E00"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vezi</w:t>
            </w:r>
            <w:r w:rsidR="00FD5E00"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sa</w:t>
            </w:r>
            <w:r w:rsidR="00FD5E00"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realizacijom</w:t>
            </w:r>
            <w:r w:rsidR="00FD5E00" w:rsidRPr="00DA6B3F">
              <w:rPr>
                <w:rFonts w:ascii="Times New Roman" w:hAnsi="Times New Roman" w:cs="Times New Roman"/>
                <w:sz w:val="24"/>
                <w:szCs w:val="24"/>
              </w:rPr>
              <w:t xml:space="preserve"> </w:t>
            </w:r>
            <w:r w:rsidR="00F846DE" w:rsidRPr="00DA6B3F">
              <w:rPr>
                <w:rFonts w:ascii="Times New Roman" w:hAnsi="Times New Roman" w:cs="Times New Roman"/>
                <w:sz w:val="24"/>
                <w:szCs w:val="24"/>
                <w:lang w:val="sr-Latn-RS"/>
              </w:rPr>
              <w:t>trećeg</w:t>
            </w:r>
            <w:r w:rsidR="00FD5E00"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potprojekta</w:t>
            </w:r>
            <w:r w:rsidR="00FD5E00"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Regionalnog</w:t>
            </w:r>
            <w:r w:rsidR="00FD5E00"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programa</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stambenog</w:t>
            </w:r>
            <w:r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zbrinjavanja</w:t>
            </w:r>
            <w:r w:rsidR="00FD5E00" w:rsidRPr="00DA6B3F">
              <w:rPr>
                <w:rFonts w:ascii="Times New Roman" w:hAnsi="Times New Roman" w:cs="Times New Roman"/>
                <w:sz w:val="24"/>
                <w:szCs w:val="24"/>
              </w:rPr>
              <w:t xml:space="preserve">, </w:t>
            </w:r>
            <w:r w:rsidR="007B61F7" w:rsidRPr="00DA6B3F">
              <w:rPr>
                <w:rFonts w:ascii="Times New Roman" w:hAnsi="Times New Roman" w:cs="Times New Roman"/>
                <w:sz w:val="24"/>
                <w:szCs w:val="24"/>
              </w:rPr>
              <w:t xml:space="preserve">potpisan </w:t>
            </w:r>
            <w:r w:rsidR="00F846DE" w:rsidRPr="00DA6B3F">
              <w:rPr>
                <w:rFonts w:ascii="Times New Roman" w:hAnsi="Times New Roman" w:cs="Times New Roman"/>
                <w:sz w:val="24"/>
                <w:szCs w:val="24"/>
                <w:lang w:val="sr-Latn-RS"/>
              </w:rPr>
              <w:t>9</w:t>
            </w:r>
            <w:r w:rsidR="00FD5E00" w:rsidRPr="00DA6B3F">
              <w:rPr>
                <w:rFonts w:ascii="Times New Roman" w:hAnsi="Times New Roman" w:cs="Times New Roman"/>
                <w:sz w:val="24"/>
                <w:szCs w:val="24"/>
              </w:rPr>
              <w:t xml:space="preserve">. </w:t>
            </w:r>
            <w:r w:rsidR="00F846DE" w:rsidRPr="00DA6B3F">
              <w:rPr>
                <w:rFonts w:ascii="Times New Roman" w:hAnsi="Times New Roman" w:cs="Times New Roman"/>
                <w:sz w:val="24"/>
                <w:szCs w:val="24"/>
                <w:lang w:val="sr-Latn-RS"/>
              </w:rPr>
              <w:t>septembra</w:t>
            </w:r>
            <w:r w:rsidR="00FD5E00" w:rsidRPr="00DA6B3F">
              <w:rPr>
                <w:rFonts w:ascii="Times New Roman" w:hAnsi="Times New Roman" w:cs="Times New Roman"/>
                <w:sz w:val="24"/>
                <w:szCs w:val="24"/>
              </w:rPr>
              <w:t xml:space="preserve"> 2014.</w:t>
            </w:r>
            <w:r w:rsidR="00FD5E00" w:rsidRPr="00B36795">
              <w:rPr>
                <w:rFonts w:ascii="Times New Roman" w:hAnsi="Times New Roman" w:cs="Times New Roman"/>
                <w:sz w:val="24"/>
                <w:szCs w:val="24"/>
              </w:rPr>
              <w:t xml:space="preserve"> </w:t>
            </w:r>
          </w:p>
        </w:tc>
      </w:tr>
      <w:tr w:rsidR="002D6E25" w:rsidRPr="00C13DF4" w14:paraId="4A68C7E5" w14:textId="77777777" w:rsidTr="009C6217">
        <w:trPr>
          <w:trHeight w:val="232"/>
        </w:trPr>
        <w:tc>
          <w:tcPr>
            <w:tcW w:w="383" w:type="pct"/>
            <w:shd w:val="clear" w:color="auto" w:fill="FFFFFF"/>
            <w:tcMar>
              <w:top w:w="0" w:type="dxa"/>
              <w:left w:w="108" w:type="dxa"/>
              <w:bottom w:w="0" w:type="dxa"/>
              <w:right w:w="108" w:type="dxa"/>
            </w:tcMar>
          </w:tcPr>
          <w:p w14:paraId="5BF95442"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07225021"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71C24A9F" w14:textId="77777777" w:rsidTr="00EB693E">
        <w:trPr>
          <w:trHeight w:val="424"/>
        </w:trPr>
        <w:tc>
          <w:tcPr>
            <w:tcW w:w="383" w:type="pct"/>
            <w:shd w:val="clear" w:color="auto" w:fill="FFFFFF"/>
            <w:tcMar>
              <w:top w:w="0" w:type="dxa"/>
              <w:left w:w="108" w:type="dxa"/>
              <w:bottom w:w="0" w:type="dxa"/>
              <w:right w:w="108" w:type="dxa"/>
            </w:tcMar>
          </w:tcPr>
          <w:p w14:paraId="30C98817"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3E76A369" w14:textId="77777777" w:rsidR="002D6E25" w:rsidRPr="00C13DF4" w:rsidRDefault="00F5074E" w:rsidP="00F520A4">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Ime</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6867D0CE" w14:textId="1EAB22DB" w:rsidR="002D6E25" w:rsidRPr="0060657F" w:rsidRDefault="0060657F" w:rsidP="00BA0697">
            <w:pPr>
              <w:spacing w:before="60" w:after="60" w:line="240" w:lineRule="auto"/>
              <w:rPr>
                <w:rFonts w:ascii="Times New Roman" w:hAnsi="Times New Roman" w:cs="Times New Roman"/>
                <w:sz w:val="24"/>
                <w:szCs w:val="24"/>
                <w:lang w:val="sr-Latn-CS"/>
              </w:rPr>
            </w:pPr>
            <w:r w:rsidRPr="0060657F">
              <w:rPr>
                <w:rFonts w:ascii="Times New Roman" w:eastAsiaTheme="minorEastAsia" w:hAnsi="Times New Roman" w:cs="Times New Roman"/>
                <w:color w:val="auto"/>
                <w:sz w:val="24"/>
                <w:lang w:val="sr-Latn-CS"/>
              </w:rPr>
              <w:t>Jedinica za upravljanje projektima u javnom sektoru d.o.o. Beograd</w:t>
            </w:r>
          </w:p>
        </w:tc>
      </w:tr>
      <w:tr w:rsidR="002D6E25" w:rsidRPr="00C13DF4" w14:paraId="3016F441" w14:textId="77777777" w:rsidTr="009C6217">
        <w:trPr>
          <w:trHeight w:val="232"/>
        </w:trPr>
        <w:tc>
          <w:tcPr>
            <w:tcW w:w="383" w:type="pct"/>
            <w:shd w:val="clear" w:color="auto" w:fill="FFFFFF"/>
            <w:tcMar>
              <w:top w:w="0" w:type="dxa"/>
              <w:left w:w="108" w:type="dxa"/>
              <w:bottom w:w="0" w:type="dxa"/>
              <w:right w:w="108" w:type="dxa"/>
            </w:tcMar>
          </w:tcPr>
          <w:p w14:paraId="45B5A328"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644116DC" w14:textId="77777777" w:rsidR="002D6E25" w:rsidRPr="00C13DF4" w:rsidRDefault="002D6E25" w:rsidP="009C6217">
            <w:pPr>
              <w:spacing w:before="60" w:after="60" w:line="240" w:lineRule="auto"/>
              <w:rPr>
                <w:rFonts w:ascii="Times New Roman" w:hAnsi="Times New Roman" w:cs="Times New Roman"/>
                <w:sz w:val="24"/>
                <w:szCs w:val="24"/>
                <w:lang w:val="sr-Latn-CS"/>
              </w:rPr>
            </w:pPr>
          </w:p>
        </w:tc>
      </w:tr>
      <w:tr w:rsidR="002D6E25" w:rsidRPr="00C13DF4" w14:paraId="4E651699" w14:textId="77777777" w:rsidTr="00EB693E">
        <w:trPr>
          <w:trHeight w:val="363"/>
        </w:trPr>
        <w:tc>
          <w:tcPr>
            <w:tcW w:w="383" w:type="pct"/>
            <w:shd w:val="clear" w:color="auto" w:fill="FFFFFF"/>
            <w:tcMar>
              <w:top w:w="0" w:type="dxa"/>
              <w:left w:w="108" w:type="dxa"/>
              <w:bottom w:w="0" w:type="dxa"/>
              <w:right w:w="108" w:type="dxa"/>
            </w:tcMar>
          </w:tcPr>
          <w:p w14:paraId="7BA51E87"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21" w:type="pct"/>
            <w:shd w:val="clear" w:color="auto" w:fill="FFFFFF"/>
            <w:tcMar>
              <w:top w:w="0" w:type="dxa"/>
              <w:left w:w="108" w:type="dxa"/>
              <w:bottom w:w="0" w:type="dxa"/>
              <w:right w:w="108" w:type="dxa"/>
            </w:tcMar>
          </w:tcPr>
          <w:p w14:paraId="089114BC" w14:textId="77777777" w:rsidR="002D6E25" w:rsidRPr="00C13DF4" w:rsidRDefault="00F5074E" w:rsidP="00F520A4">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Adresa</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40D53528" w14:textId="77777777" w:rsidR="002D6E25" w:rsidRPr="00C13DF4" w:rsidRDefault="00A92081" w:rsidP="00BA0697">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 xml:space="preserve">22-26 </w:t>
            </w:r>
            <w:r w:rsidR="00F5074E" w:rsidRPr="00C13DF4">
              <w:rPr>
                <w:rFonts w:ascii="Times New Roman" w:hAnsi="Times New Roman" w:cs="Times New Roman"/>
                <w:sz w:val="24"/>
                <w:szCs w:val="24"/>
                <w:lang w:val="sr-Latn-CS"/>
              </w:rPr>
              <w:t>Nemanjina</w:t>
            </w:r>
            <w:r w:rsidR="00BA0697"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 xml:space="preserve">11000 </w:t>
            </w:r>
            <w:r w:rsidR="00F5074E" w:rsidRPr="00C13DF4">
              <w:rPr>
                <w:rFonts w:ascii="Times New Roman" w:hAnsi="Times New Roman" w:cs="Times New Roman"/>
                <w:sz w:val="24"/>
                <w:szCs w:val="24"/>
                <w:lang w:val="sr-Latn-CS"/>
              </w:rPr>
              <w:t>Beograd</w:t>
            </w:r>
            <w:r w:rsidRPr="00C13DF4">
              <w:rPr>
                <w:rFonts w:ascii="Times New Roman" w:hAnsi="Times New Roman" w:cs="Times New Roman"/>
                <w:sz w:val="24"/>
                <w:szCs w:val="24"/>
                <w:lang w:val="sr-Latn-CS"/>
              </w:rPr>
              <w:t>,</w:t>
            </w:r>
            <w:r w:rsidR="00BA0697" w:rsidRPr="00C13DF4">
              <w:rPr>
                <w:rFonts w:ascii="Times New Roman" w:hAnsi="Times New Roman" w:cs="Times New Roman"/>
                <w:sz w:val="24"/>
                <w:szCs w:val="24"/>
                <w:lang w:val="sr-Latn-CS"/>
              </w:rPr>
              <w:t xml:space="preserve"> </w:t>
            </w:r>
            <w:r w:rsidR="00F5074E" w:rsidRPr="00C13DF4">
              <w:rPr>
                <w:rFonts w:ascii="Times New Roman" w:hAnsi="Times New Roman" w:cs="Times New Roman"/>
                <w:sz w:val="24"/>
                <w:szCs w:val="24"/>
                <w:lang w:val="sr-Latn-CS"/>
              </w:rPr>
              <w:t>Srbija</w:t>
            </w:r>
          </w:p>
        </w:tc>
      </w:tr>
      <w:tr w:rsidR="002D6E25" w:rsidRPr="00C13DF4" w14:paraId="3D3E5AF4" w14:textId="77777777" w:rsidTr="009C6217">
        <w:trPr>
          <w:trHeight w:val="188"/>
        </w:trPr>
        <w:tc>
          <w:tcPr>
            <w:tcW w:w="383" w:type="pct"/>
            <w:shd w:val="clear" w:color="auto" w:fill="FFFFFF"/>
            <w:tcMar>
              <w:top w:w="0" w:type="dxa"/>
              <w:left w:w="108" w:type="dxa"/>
              <w:bottom w:w="0" w:type="dxa"/>
              <w:right w:w="108" w:type="dxa"/>
            </w:tcMar>
          </w:tcPr>
          <w:p w14:paraId="1720C7F9"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5FA44D82"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084B950C" w14:textId="77777777" w:rsidTr="00EB693E">
        <w:trPr>
          <w:trHeight w:val="507"/>
        </w:trPr>
        <w:tc>
          <w:tcPr>
            <w:tcW w:w="383" w:type="pct"/>
            <w:shd w:val="clear" w:color="auto" w:fill="FFFFFF"/>
            <w:tcMar>
              <w:top w:w="0" w:type="dxa"/>
              <w:left w:w="108" w:type="dxa"/>
              <w:bottom w:w="0" w:type="dxa"/>
              <w:right w:w="108" w:type="dxa"/>
            </w:tcMar>
          </w:tcPr>
          <w:p w14:paraId="1C341D9B"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16608A6B" w14:textId="77777777" w:rsidR="002D6E25" w:rsidRPr="00C13DF4" w:rsidRDefault="00F5074E" w:rsidP="00F520A4">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lang w:val="sr-Latn-CS"/>
              </w:rPr>
              <w:t>Internet</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adresa</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10AAECD0" w14:textId="77777777" w:rsidR="002D6E25" w:rsidRPr="00C13DF4" w:rsidRDefault="000502FB" w:rsidP="009C6217">
            <w:pPr>
              <w:spacing w:before="60" w:after="60" w:line="240" w:lineRule="auto"/>
              <w:rPr>
                <w:rFonts w:ascii="Times New Roman" w:hAnsi="Times New Roman" w:cs="Times New Roman"/>
                <w:sz w:val="24"/>
                <w:szCs w:val="24"/>
              </w:rPr>
            </w:pPr>
            <w:hyperlink r:id="rId8" w:history="1">
              <w:r w:rsidR="00A92081" w:rsidRPr="00C13DF4">
                <w:rPr>
                  <w:rStyle w:val="Hyperlink"/>
                  <w:rFonts w:ascii="Times New Roman" w:hAnsi="Times New Roman" w:cs="Times New Roman"/>
                  <w:sz w:val="24"/>
                  <w:szCs w:val="24"/>
                </w:rPr>
                <w:t>www.piu.rs</w:t>
              </w:r>
            </w:hyperlink>
          </w:p>
        </w:tc>
      </w:tr>
      <w:tr w:rsidR="002D6E25" w:rsidRPr="00C13DF4" w14:paraId="4A2C0293" w14:textId="77777777" w:rsidTr="009C6217">
        <w:trPr>
          <w:trHeight w:val="130"/>
        </w:trPr>
        <w:tc>
          <w:tcPr>
            <w:tcW w:w="383" w:type="pct"/>
            <w:shd w:val="clear" w:color="auto" w:fill="FFFFFF"/>
            <w:tcMar>
              <w:top w:w="0" w:type="dxa"/>
              <w:left w:w="108" w:type="dxa"/>
              <w:bottom w:w="0" w:type="dxa"/>
              <w:right w:w="108" w:type="dxa"/>
            </w:tcMar>
          </w:tcPr>
          <w:p w14:paraId="56A1AAA6"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31C927A" w14:textId="77777777" w:rsidR="002D6E25" w:rsidRPr="00C13DF4" w:rsidRDefault="002D6E25" w:rsidP="009C6217">
            <w:pPr>
              <w:pStyle w:val="ListParagraph"/>
              <w:spacing w:before="60" w:after="60" w:line="240" w:lineRule="auto"/>
              <w:rPr>
                <w:rFonts w:ascii="Times New Roman" w:hAnsi="Times New Roman" w:cs="Times New Roman"/>
                <w:sz w:val="24"/>
                <w:szCs w:val="24"/>
              </w:rPr>
            </w:pPr>
          </w:p>
        </w:tc>
      </w:tr>
      <w:tr w:rsidR="002D6E25" w:rsidRPr="00C13DF4" w14:paraId="0715F162" w14:textId="77777777" w:rsidTr="00421C6D">
        <w:trPr>
          <w:trHeight w:val="614"/>
        </w:trPr>
        <w:tc>
          <w:tcPr>
            <w:tcW w:w="383" w:type="pct"/>
            <w:shd w:val="clear" w:color="auto" w:fill="FFFFFF"/>
            <w:tcMar>
              <w:top w:w="0" w:type="dxa"/>
              <w:left w:w="108" w:type="dxa"/>
              <w:bottom w:w="0" w:type="dxa"/>
              <w:right w:w="108" w:type="dxa"/>
            </w:tcMar>
          </w:tcPr>
          <w:p w14:paraId="156B9A58"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5C0CECBF" w14:textId="77777777" w:rsidR="002D6E25" w:rsidRPr="00C13DF4" w:rsidRDefault="00F5074E" w:rsidP="008D3F78">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Tip</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javne</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nabavke</w:t>
            </w:r>
            <w:r w:rsidR="008D3F78"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76E33FDD" w14:textId="77777777" w:rsidR="000E259C" w:rsidRPr="00C13DF4" w:rsidRDefault="00736B96" w:rsidP="00F42B00">
            <w:pPr>
              <w:tabs>
                <w:tab w:val="clear" w:pos="720"/>
                <w:tab w:val="left" w:pos="360"/>
              </w:tabs>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Međunarodni otvoreni</w:t>
            </w:r>
            <w:r w:rsidR="003779ED" w:rsidRPr="00C13DF4">
              <w:rPr>
                <w:rFonts w:ascii="Times New Roman" w:hAnsi="Times New Roman" w:cs="Times New Roman"/>
                <w:sz w:val="24"/>
                <w:szCs w:val="24"/>
                <w:lang w:val="sr-Latn-CS"/>
              </w:rPr>
              <w:t xml:space="preserve"> </w:t>
            </w:r>
            <w:r w:rsidR="00F5074E" w:rsidRPr="00C13DF4">
              <w:rPr>
                <w:rFonts w:ascii="Times New Roman" w:hAnsi="Times New Roman" w:cs="Times New Roman"/>
                <w:sz w:val="24"/>
                <w:szCs w:val="24"/>
                <w:lang w:val="sr-Latn-CS"/>
              </w:rPr>
              <w:t>postupak</w:t>
            </w:r>
          </w:p>
        </w:tc>
      </w:tr>
      <w:tr w:rsidR="002D6E25" w:rsidRPr="00C13DF4" w14:paraId="7BB48F98" w14:textId="77777777" w:rsidTr="009C6217">
        <w:trPr>
          <w:trHeight w:val="216"/>
        </w:trPr>
        <w:tc>
          <w:tcPr>
            <w:tcW w:w="383" w:type="pct"/>
            <w:shd w:val="clear" w:color="auto" w:fill="FFFFFF"/>
            <w:tcMar>
              <w:top w:w="0" w:type="dxa"/>
              <w:left w:w="108" w:type="dxa"/>
              <w:bottom w:w="0" w:type="dxa"/>
              <w:right w:w="108" w:type="dxa"/>
            </w:tcMar>
          </w:tcPr>
          <w:p w14:paraId="6FD9E5E2"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15551287" w14:textId="77777777" w:rsidR="002D6E25" w:rsidRPr="00C13DF4"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C13DF4" w14:paraId="5C5827B6" w14:textId="77777777" w:rsidTr="00421C6D">
        <w:trPr>
          <w:trHeight w:val="614"/>
        </w:trPr>
        <w:tc>
          <w:tcPr>
            <w:tcW w:w="383" w:type="pct"/>
            <w:shd w:val="clear" w:color="auto" w:fill="FFFFFF"/>
            <w:tcMar>
              <w:top w:w="0" w:type="dxa"/>
              <w:left w:w="108" w:type="dxa"/>
              <w:bottom w:w="0" w:type="dxa"/>
              <w:right w:w="108" w:type="dxa"/>
            </w:tcMar>
          </w:tcPr>
          <w:p w14:paraId="58F5B028"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21" w:type="pct"/>
            <w:shd w:val="clear" w:color="auto" w:fill="FFFFFF"/>
            <w:tcMar>
              <w:top w:w="0" w:type="dxa"/>
              <w:left w:w="108" w:type="dxa"/>
              <w:bottom w:w="0" w:type="dxa"/>
              <w:right w:w="108" w:type="dxa"/>
            </w:tcMar>
          </w:tcPr>
          <w:p w14:paraId="6473C4C6" w14:textId="77777777" w:rsidR="002D6E25" w:rsidRPr="00C13DF4" w:rsidRDefault="00F5074E" w:rsidP="009C6217">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Tip</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ugovora</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4850BC64" w14:textId="77777777" w:rsidR="002D6E25" w:rsidRPr="00C13DF4" w:rsidRDefault="00F5074E" w:rsidP="00736B96">
            <w:pPr>
              <w:tabs>
                <w:tab w:val="clear" w:pos="720"/>
                <w:tab w:val="left" w:pos="295"/>
              </w:tabs>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Ugovor</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w:t>
            </w:r>
            <w:r w:rsidR="003779ED" w:rsidRPr="00C13DF4">
              <w:rPr>
                <w:rFonts w:ascii="Times New Roman" w:hAnsi="Times New Roman" w:cs="Times New Roman"/>
                <w:sz w:val="24"/>
                <w:szCs w:val="24"/>
                <w:lang w:val="sr-Latn-CS"/>
              </w:rPr>
              <w:t xml:space="preserve"> </w:t>
            </w:r>
            <w:r w:rsidR="00736B96">
              <w:rPr>
                <w:rFonts w:ascii="Times New Roman" w:hAnsi="Times New Roman" w:cs="Times New Roman"/>
                <w:sz w:val="24"/>
                <w:szCs w:val="24"/>
                <w:lang w:val="sr-Latn-CS"/>
              </w:rPr>
              <w:t>nabavci dobara</w:t>
            </w:r>
          </w:p>
        </w:tc>
      </w:tr>
      <w:tr w:rsidR="002D6E25" w:rsidRPr="00C13DF4" w14:paraId="7F19F681" w14:textId="77777777" w:rsidTr="009C6217">
        <w:tc>
          <w:tcPr>
            <w:tcW w:w="383" w:type="pct"/>
            <w:shd w:val="clear" w:color="auto" w:fill="FFFFFF"/>
            <w:tcMar>
              <w:top w:w="0" w:type="dxa"/>
              <w:left w:w="108" w:type="dxa"/>
              <w:bottom w:w="0" w:type="dxa"/>
              <w:right w:w="108" w:type="dxa"/>
            </w:tcMar>
          </w:tcPr>
          <w:p w14:paraId="3CF853B9"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DB0BB8C" w14:textId="77777777" w:rsidR="002D6E25" w:rsidRPr="00C46BD6" w:rsidRDefault="00C46BD6" w:rsidP="009C6217">
            <w:pPr>
              <w:spacing w:before="60" w:after="60" w:line="240" w:lineRule="auto"/>
              <w:rPr>
                <w:rFonts w:ascii="Times New Roman" w:hAnsi="Times New Roman" w:cs="Times New Roman"/>
                <w:sz w:val="24"/>
                <w:szCs w:val="24"/>
                <w:lang w:val="sr-Latn-CS"/>
              </w:rPr>
            </w:pPr>
            <w:r w:rsidRPr="00C46BD6">
              <w:rPr>
                <w:rFonts w:ascii="Times New Roman" w:hAnsi="Times New Roman" w:cs="Times New Roman"/>
                <w:sz w:val="24"/>
                <w:szCs w:val="24"/>
                <w:lang w:val="sr-Latn-CS"/>
              </w:rPr>
              <w:t>Nabavka građevinskog materijala</w:t>
            </w:r>
            <w:r w:rsidR="00A4704A" w:rsidRPr="00C46BD6">
              <w:rPr>
                <w:rFonts w:ascii="Times New Roman" w:hAnsi="Times New Roman" w:cs="Times New Roman"/>
                <w:sz w:val="24"/>
                <w:szCs w:val="24"/>
                <w:lang w:val="sr-Latn-CS"/>
              </w:rPr>
              <w:t xml:space="preserve">, </w:t>
            </w:r>
            <w:r w:rsidR="00F5074E" w:rsidRPr="00C46BD6">
              <w:rPr>
                <w:rFonts w:ascii="Times New Roman" w:hAnsi="Times New Roman" w:cs="Times New Roman"/>
                <w:sz w:val="24"/>
                <w:szCs w:val="24"/>
                <w:lang w:val="sr-Latn-CS"/>
              </w:rPr>
              <w:t>šifra</w:t>
            </w:r>
            <w:r w:rsidR="003779ED" w:rsidRPr="00C46BD6">
              <w:rPr>
                <w:rFonts w:ascii="Times New Roman" w:hAnsi="Times New Roman" w:cs="Times New Roman"/>
                <w:sz w:val="24"/>
                <w:szCs w:val="24"/>
                <w:lang w:val="sr-Latn-CS"/>
              </w:rPr>
              <w:t xml:space="preserve"> </w:t>
            </w:r>
            <w:r w:rsidR="00F5074E" w:rsidRPr="00C46BD6">
              <w:rPr>
                <w:rFonts w:ascii="Times New Roman" w:hAnsi="Times New Roman" w:cs="Times New Roman"/>
                <w:sz w:val="24"/>
                <w:szCs w:val="24"/>
                <w:lang w:val="sr-Latn-CS"/>
              </w:rPr>
              <w:t>iz</w:t>
            </w:r>
            <w:r w:rsidR="009E33F0" w:rsidRPr="00C46BD6">
              <w:rPr>
                <w:rFonts w:ascii="Times New Roman" w:hAnsi="Times New Roman" w:cs="Times New Roman"/>
                <w:sz w:val="24"/>
                <w:szCs w:val="24"/>
                <w:lang w:val="sr-Latn-CS"/>
              </w:rPr>
              <w:t xml:space="preserve"> </w:t>
            </w:r>
            <w:r w:rsidR="00F5074E" w:rsidRPr="00C46BD6">
              <w:rPr>
                <w:rFonts w:ascii="Times New Roman" w:hAnsi="Times New Roman" w:cs="Times New Roman"/>
                <w:sz w:val="24"/>
                <w:szCs w:val="24"/>
                <w:lang w:val="sr-Latn-CS"/>
              </w:rPr>
              <w:t>ORN</w:t>
            </w:r>
            <w:r w:rsidR="00083F35" w:rsidRPr="00C46BD6">
              <w:rPr>
                <w:rFonts w:ascii="Times New Roman" w:hAnsi="Times New Roman" w:cs="Times New Roman"/>
                <w:sz w:val="24"/>
                <w:szCs w:val="24"/>
                <w:lang w:val="sr-Latn-CS"/>
              </w:rPr>
              <w:t>:</w:t>
            </w:r>
            <w:r w:rsidR="00A4704A" w:rsidRPr="00C46BD6">
              <w:rPr>
                <w:rFonts w:ascii="Times New Roman" w:hAnsi="Times New Roman" w:cs="Times New Roman"/>
                <w:sz w:val="24"/>
                <w:szCs w:val="24"/>
                <w:lang w:val="sr-Latn-CS"/>
              </w:rPr>
              <w:t xml:space="preserve"> </w:t>
            </w:r>
            <w:r w:rsidRPr="00C46BD6">
              <w:rPr>
                <w:rFonts w:ascii="Times New Roman" w:eastAsia="Times New Roman" w:hAnsi="Times New Roman" w:cs="Times New Roman"/>
                <w:sz w:val="24"/>
                <w:szCs w:val="24"/>
                <w:lang w:val="sr-Latn-CS"/>
              </w:rPr>
              <w:t>44110000</w:t>
            </w:r>
            <w:r w:rsidR="00F5074E" w:rsidRPr="00C46BD6">
              <w:rPr>
                <w:rFonts w:ascii="Times New Roman" w:hAnsi="Times New Roman" w:cs="Times New Roman"/>
                <w:sz w:val="24"/>
                <w:szCs w:val="24"/>
                <w:lang w:val="sr-Latn-CS"/>
              </w:rPr>
              <w:t>.</w:t>
            </w:r>
          </w:p>
          <w:p w14:paraId="2017AD72" w14:textId="77777777" w:rsidR="00A4704A" w:rsidRPr="00C13DF4" w:rsidRDefault="00A4704A" w:rsidP="009C6217">
            <w:pPr>
              <w:spacing w:before="60" w:after="60" w:line="240" w:lineRule="auto"/>
              <w:rPr>
                <w:rFonts w:ascii="Times New Roman" w:hAnsi="Times New Roman" w:cs="Times New Roman"/>
                <w:sz w:val="24"/>
                <w:szCs w:val="24"/>
              </w:rPr>
            </w:pPr>
          </w:p>
          <w:p w14:paraId="4765C21C" w14:textId="77777777" w:rsidR="0006082D" w:rsidRPr="00C13DF4" w:rsidRDefault="0006082D" w:rsidP="0006082D">
            <w:pPr>
              <w:spacing w:before="60" w:after="60" w:line="240" w:lineRule="auto"/>
              <w:jc w:val="both"/>
              <w:rPr>
                <w:rFonts w:ascii="Times New Roman" w:hAnsi="Times New Roman" w:cs="Times New Roman"/>
                <w:sz w:val="24"/>
                <w:szCs w:val="24"/>
              </w:rPr>
            </w:pPr>
            <w:r w:rsidRPr="00C13DF4">
              <w:rPr>
                <w:rFonts w:ascii="Times New Roman" w:hAnsi="Times New Roman" w:cs="Times New Roman"/>
                <w:sz w:val="24"/>
                <w:szCs w:val="24"/>
              </w:rPr>
              <w:t xml:space="preserve">U sporazumu o implementaciji programa o stambenom zbrinjavanju u Srbiji, </w:t>
            </w:r>
            <w:r>
              <w:rPr>
                <w:rFonts w:ascii="Times New Roman" w:hAnsi="Times New Roman" w:cs="Times New Roman"/>
                <w:sz w:val="24"/>
                <w:szCs w:val="24"/>
              </w:rPr>
              <w:t xml:space="preserve">obezbeđenje paketa građevinskog materijala predviđen je kao jedan od modaliteta </w:t>
            </w:r>
            <w:r w:rsidRPr="00C13DF4">
              <w:rPr>
                <w:rFonts w:ascii="Times New Roman" w:hAnsi="Times New Roman" w:cs="Times New Roman"/>
                <w:sz w:val="24"/>
                <w:szCs w:val="24"/>
              </w:rPr>
              <w:t xml:space="preserve">( </w:t>
            </w:r>
            <w:r>
              <w:rPr>
                <w:rFonts w:ascii="Times New Roman" w:hAnsi="Times New Roman" w:cs="Times New Roman"/>
                <w:sz w:val="24"/>
                <w:szCs w:val="24"/>
              </w:rPr>
              <w:t>B</w:t>
            </w:r>
            <w:r w:rsidRPr="00C13DF4">
              <w:rPr>
                <w:rFonts w:ascii="Times New Roman" w:hAnsi="Times New Roman" w:cs="Times New Roman"/>
                <w:sz w:val="24"/>
                <w:szCs w:val="24"/>
              </w:rPr>
              <w:t xml:space="preserve">: </w:t>
            </w:r>
            <w:r>
              <w:rPr>
                <w:rFonts w:ascii="Times New Roman" w:hAnsi="Times New Roman" w:cs="Times New Roman"/>
                <w:sz w:val="24"/>
                <w:szCs w:val="24"/>
              </w:rPr>
              <w:t>Građevinski materijal</w:t>
            </w:r>
            <w:r w:rsidRPr="00C13DF4">
              <w:rPr>
                <w:rFonts w:ascii="Times New Roman" w:hAnsi="Times New Roman" w:cs="Times New Roman"/>
                <w:sz w:val="24"/>
                <w:szCs w:val="24"/>
              </w:rPr>
              <w:t xml:space="preserve">) koji će biti sproveden u više implementacionih  faza. </w:t>
            </w:r>
          </w:p>
          <w:p w14:paraId="25D481E4" w14:textId="77777777" w:rsidR="0006082D" w:rsidRPr="00C13DF4" w:rsidRDefault="0006082D" w:rsidP="0006082D">
            <w:pPr>
              <w:spacing w:before="60" w:after="60" w:line="240" w:lineRule="auto"/>
              <w:jc w:val="both"/>
              <w:rPr>
                <w:rFonts w:ascii="Times New Roman" w:hAnsi="Times New Roman" w:cs="Times New Roman"/>
                <w:sz w:val="24"/>
                <w:szCs w:val="24"/>
              </w:rPr>
            </w:pPr>
            <w:r w:rsidRPr="00C13DF4">
              <w:rPr>
                <w:rFonts w:ascii="Times New Roman" w:hAnsi="Times New Roman" w:cs="Times New Roman"/>
                <w:sz w:val="24"/>
                <w:szCs w:val="24"/>
              </w:rPr>
              <w:t xml:space="preserve">Pomenuti modalitet stambenog zbrinjavanja definisan je kao </w:t>
            </w:r>
            <w:r>
              <w:rPr>
                <w:rFonts w:ascii="Times New Roman" w:hAnsi="Times New Roman" w:cs="Times New Roman"/>
                <w:sz w:val="24"/>
                <w:szCs w:val="24"/>
              </w:rPr>
              <w:t>pružanje podrške integraciji</w:t>
            </w:r>
            <w:r w:rsidRPr="00C13DF4">
              <w:rPr>
                <w:rFonts w:ascii="Times New Roman" w:hAnsi="Times New Roman" w:cs="Times New Roman"/>
                <w:sz w:val="24"/>
                <w:szCs w:val="24"/>
              </w:rPr>
              <w:t xml:space="preserve"> </w:t>
            </w:r>
            <w:r>
              <w:rPr>
                <w:rFonts w:ascii="Times New Roman" w:hAnsi="Times New Roman" w:cs="Times New Roman"/>
                <w:sz w:val="24"/>
                <w:szCs w:val="24"/>
              </w:rPr>
              <w:lastRenderedPageBreak/>
              <w:t>izbeglih lica koja</w:t>
            </w:r>
            <w:r w:rsidRPr="00C13DF4">
              <w:rPr>
                <w:rFonts w:ascii="Times New Roman" w:hAnsi="Times New Roman" w:cs="Times New Roman"/>
                <w:sz w:val="24"/>
                <w:szCs w:val="24"/>
              </w:rPr>
              <w:t xml:space="preserve"> </w:t>
            </w:r>
            <w:r>
              <w:rPr>
                <w:rFonts w:ascii="Times New Roman" w:hAnsi="Times New Roman" w:cs="Times New Roman"/>
                <w:sz w:val="24"/>
                <w:szCs w:val="24"/>
              </w:rPr>
              <w:t>su već započela izgradnju kuća ili koja poseduju neuslovnu kuću pogodnu za adaptaciju, obezbeđivanjem paketa građevinskog materijala.</w:t>
            </w:r>
            <w:r w:rsidRPr="00C13DF4">
              <w:rPr>
                <w:rFonts w:ascii="Times New Roman" w:hAnsi="Times New Roman" w:cs="Times New Roman"/>
                <w:sz w:val="24"/>
                <w:szCs w:val="24"/>
              </w:rPr>
              <w:t xml:space="preserve"> </w:t>
            </w:r>
          </w:p>
          <w:p w14:paraId="6487D9DF" w14:textId="6C0F0935" w:rsidR="0006082D" w:rsidRPr="0006082D" w:rsidRDefault="0006082D" w:rsidP="0006082D">
            <w:pPr>
              <w:spacing w:before="60" w:after="60" w:line="240" w:lineRule="auto"/>
              <w:jc w:val="both"/>
              <w:rPr>
                <w:rFonts w:ascii="Times New Roman" w:hAnsi="Times New Roman" w:cs="Times New Roman"/>
                <w:sz w:val="24"/>
                <w:szCs w:val="24"/>
              </w:rPr>
            </w:pPr>
            <w:r w:rsidRPr="00C13DF4">
              <w:rPr>
                <w:rFonts w:ascii="Times New Roman" w:hAnsi="Times New Roman" w:cs="Times New Roman"/>
                <w:sz w:val="24"/>
                <w:szCs w:val="24"/>
              </w:rPr>
              <w:t xml:space="preserve">Obim ovog projekta podrazumeva </w:t>
            </w:r>
            <w:r w:rsidR="00F60401" w:rsidRPr="00DA6B3F">
              <w:rPr>
                <w:rFonts w:ascii="Times New Roman" w:hAnsi="Times New Roman" w:cs="Times New Roman"/>
                <w:sz w:val="24"/>
                <w:szCs w:val="24"/>
              </w:rPr>
              <w:t xml:space="preserve">isporuku </w:t>
            </w:r>
            <w:r w:rsidR="005B760E" w:rsidRPr="00DA6B3F">
              <w:rPr>
                <w:rFonts w:ascii="Times New Roman" w:hAnsi="Times New Roman" w:cs="Times New Roman"/>
                <w:b/>
                <w:sz w:val="24"/>
                <w:szCs w:val="24"/>
                <w:lang w:val="sr-Latn-CS"/>
              </w:rPr>
              <w:t>302</w:t>
            </w:r>
            <w:r w:rsidRPr="00DA6B3F">
              <w:rPr>
                <w:rFonts w:ascii="Times New Roman" w:hAnsi="Times New Roman" w:cs="Times New Roman"/>
                <w:b/>
                <w:sz w:val="24"/>
                <w:szCs w:val="24"/>
              </w:rPr>
              <w:t xml:space="preserve"> paketa</w:t>
            </w:r>
            <w:r w:rsidRPr="00DA6B3F">
              <w:rPr>
                <w:rFonts w:ascii="Times New Roman" w:hAnsi="Times New Roman" w:cs="Times New Roman"/>
                <w:sz w:val="24"/>
                <w:szCs w:val="24"/>
              </w:rPr>
              <w:t xml:space="preserve"> </w:t>
            </w:r>
            <w:r w:rsidRPr="00DA6B3F">
              <w:rPr>
                <w:rFonts w:ascii="Times New Roman" w:hAnsi="Times New Roman" w:cs="Times New Roman"/>
                <w:b/>
                <w:sz w:val="24"/>
                <w:szCs w:val="24"/>
              </w:rPr>
              <w:t>građevinskog materijala</w:t>
            </w:r>
            <w:r w:rsidRPr="00DA6B3F">
              <w:rPr>
                <w:rFonts w:ascii="Times New Roman" w:hAnsi="Times New Roman" w:cs="Times New Roman"/>
                <w:sz w:val="24"/>
                <w:szCs w:val="24"/>
              </w:rPr>
              <w:t xml:space="preserve"> korisnicima</w:t>
            </w:r>
            <w:r w:rsidR="00F60401" w:rsidRPr="00DA6B3F">
              <w:rPr>
                <w:rFonts w:ascii="Times New Roman" w:hAnsi="Times New Roman" w:cs="Times New Roman"/>
                <w:sz w:val="24"/>
                <w:szCs w:val="24"/>
              </w:rPr>
              <w:t>,</w:t>
            </w:r>
            <w:r w:rsidR="00974A37" w:rsidRPr="00DA6B3F">
              <w:rPr>
                <w:rFonts w:ascii="Times New Roman" w:hAnsi="Times New Roman" w:cs="Times New Roman"/>
                <w:sz w:val="24"/>
                <w:szCs w:val="24"/>
                <w:lang w:val="sr-Latn-CS"/>
              </w:rPr>
              <w:t xml:space="preserve"> na teritoriji grada Beograda,</w:t>
            </w:r>
            <w:r w:rsidR="00F60401" w:rsidRPr="00DA6B3F">
              <w:rPr>
                <w:rFonts w:ascii="Times New Roman" w:hAnsi="Times New Roman" w:cs="Times New Roman"/>
                <w:sz w:val="24"/>
                <w:szCs w:val="24"/>
              </w:rPr>
              <w:t xml:space="preserve"> na lokacijama datim u Aneksu </w:t>
            </w:r>
            <w:r w:rsidR="00F60401" w:rsidRPr="00DA6B3F">
              <w:rPr>
                <w:rFonts w:ascii="Times New Roman" w:hAnsi="Times New Roman" w:cs="Times New Roman"/>
                <w:sz w:val="24"/>
                <w:szCs w:val="24"/>
                <w:lang w:val="sr-Latn-CS"/>
              </w:rPr>
              <w:t>2</w:t>
            </w:r>
            <w:r w:rsidRPr="00DA6B3F">
              <w:rPr>
                <w:rFonts w:ascii="Times New Roman" w:hAnsi="Times New Roman" w:cs="Times New Roman"/>
                <w:sz w:val="24"/>
                <w:szCs w:val="24"/>
              </w:rPr>
              <w:t>: Struktura količina za materijal ovog tenderskog dosijea.</w:t>
            </w:r>
          </w:p>
          <w:p w14:paraId="4ABE3C3E" w14:textId="77777777" w:rsidR="00083F35" w:rsidRPr="0006082D" w:rsidRDefault="00083F35" w:rsidP="00BA0697">
            <w:pPr>
              <w:spacing w:before="60" w:after="60" w:line="240" w:lineRule="auto"/>
              <w:jc w:val="both"/>
              <w:rPr>
                <w:rFonts w:ascii="Times New Roman" w:hAnsi="Times New Roman" w:cs="Times New Roman"/>
                <w:sz w:val="24"/>
                <w:szCs w:val="24"/>
              </w:rPr>
            </w:pPr>
          </w:p>
        </w:tc>
      </w:tr>
      <w:tr w:rsidR="002D6E25" w:rsidRPr="00C13DF4" w14:paraId="65DBF1E1" w14:textId="77777777" w:rsidTr="00421C6D">
        <w:trPr>
          <w:trHeight w:val="745"/>
        </w:trPr>
        <w:tc>
          <w:tcPr>
            <w:tcW w:w="383" w:type="pct"/>
            <w:shd w:val="clear" w:color="auto" w:fill="FFFFFF"/>
            <w:tcMar>
              <w:top w:w="0" w:type="dxa"/>
              <w:left w:w="108" w:type="dxa"/>
              <w:bottom w:w="0" w:type="dxa"/>
              <w:right w:w="108" w:type="dxa"/>
            </w:tcMar>
          </w:tcPr>
          <w:p w14:paraId="2212A6DB"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4097D9EE" w14:textId="77777777" w:rsidR="00083F35" w:rsidRPr="00415392" w:rsidRDefault="00F5074E" w:rsidP="009E33F0">
            <w:pPr>
              <w:spacing w:before="60" w:after="60" w:line="240" w:lineRule="auto"/>
              <w:rPr>
                <w:rFonts w:ascii="Times New Roman" w:hAnsi="Times New Roman" w:cs="Times New Roman"/>
                <w:sz w:val="24"/>
                <w:szCs w:val="24"/>
                <w:lang w:val="sr-Latn-CS"/>
              </w:rPr>
            </w:pPr>
            <w:r w:rsidRPr="00415392">
              <w:rPr>
                <w:rFonts w:ascii="Times New Roman" w:hAnsi="Times New Roman" w:cs="Times New Roman"/>
                <w:sz w:val="24"/>
                <w:szCs w:val="24"/>
                <w:lang w:val="sr-Latn-CS"/>
              </w:rPr>
              <w:t>Broj</w:t>
            </w:r>
            <w:r w:rsidR="009E33F0" w:rsidRPr="00415392">
              <w:rPr>
                <w:rFonts w:ascii="Times New Roman" w:hAnsi="Times New Roman" w:cs="Times New Roman"/>
                <w:sz w:val="24"/>
                <w:szCs w:val="24"/>
                <w:lang w:val="sr-Latn-CS"/>
              </w:rPr>
              <w:t xml:space="preserve"> </w:t>
            </w:r>
            <w:r w:rsidRPr="00415392">
              <w:rPr>
                <w:rFonts w:ascii="Times New Roman" w:hAnsi="Times New Roman" w:cs="Times New Roman"/>
                <w:sz w:val="24"/>
                <w:szCs w:val="24"/>
                <w:lang w:val="sr-Latn-CS"/>
              </w:rPr>
              <w:t>partije</w:t>
            </w:r>
            <w:r w:rsidR="009E33F0" w:rsidRPr="00415392">
              <w:rPr>
                <w:rFonts w:ascii="Times New Roman" w:hAnsi="Times New Roman" w:cs="Times New Roman"/>
                <w:sz w:val="24"/>
                <w:szCs w:val="24"/>
                <w:lang w:val="sr-Latn-CS"/>
              </w:rPr>
              <w:t xml:space="preserve"> </w:t>
            </w:r>
            <w:r w:rsidRPr="00415392">
              <w:rPr>
                <w:rFonts w:ascii="Times New Roman" w:hAnsi="Times New Roman" w:cs="Times New Roman"/>
                <w:sz w:val="24"/>
                <w:szCs w:val="24"/>
                <w:lang w:val="sr-Latn-CS"/>
              </w:rPr>
              <w:t>ukoliko</w:t>
            </w:r>
            <w:r w:rsidR="009E33F0" w:rsidRPr="00415392">
              <w:rPr>
                <w:rFonts w:ascii="Times New Roman" w:hAnsi="Times New Roman" w:cs="Times New Roman"/>
                <w:sz w:val="24"/>
                <w:szCs w:val="24"/>
                <w:lang w:val="sr-Latn-CS"/>
              </w:rPr>
              <w:t xml:space="preserve"> </w:t>
            </w:r>
            <w:r w:rsidRPr="00415392">
              <w:rPr>
                <w:rFonts w:ascii="Times New Roman" w:hAnsi="Times New Roman" w:cs="Times New Roman"/>
                <w:sz w:val="24"/>
                <w:szCs w:val="24"/>
                <w:lang w:val="sr-Latn-CS"/>
              </w:rPr>
              <w:t>je</w:t>
            </w:r>
            <w:r w:rsidR="009E33F0" w:rsidRPr="00415392">
              <w:rPr>
                <w:rFonts w:ascii="Times New Roman" w:hAnsi="Times New Roman" w:cs="Times New Roman"/>
                <w:sz w:val="24"/>
                <w:szCs w:val="24"/>
                <w:lang w:val="sr-Latn-CS"/>
              </w:rPr>
              <w:t xml:space="preserve"> </w:t>
            </w:r>
            <w:r w:rsidRPr="00415392">
              <w:rPr>
                <w:rFonts w:ascii="Times New Roman" w:hAnsi="Times New Roman" w:cs="Times New Roman"/>
                <w:sz w:val="24"/>
                <w:szCs w:val="24"/>
                <w:lang w:val="sr-Latn-CS"/>
              </w:rPr>
              <w:t>ugovor</w:t>
            </w:r>
            <w:r w:rsidR="009E33F0" w:rsidRPr="00415392">
              <w:rPr>
                <w:rFonts w:ascii="Times New Roman" w:hAnsi="Times New Roman" w:cs="Times New Roman"/>
                <w:sz w:val="24"/>
                <w:szCs w:val="24"/>
                <w:lang w:val="sr-Latn-CS"/>
              </w:rPr>
              <w:t xml:space="preserve"> </w:t>
            </w:r>
            <w:r w:rsidRPr="00415392">
              <w:rPr>
                <w:rFonts w:ascii="Times New Roman" w:hAnsi="Times New Roman" w:cs="Times New Roman"/>
                <w:sz w:val="24"/>
                <w:szCs w:val="24"/>
                <w:lang w:val="sr-Latn-CS"/>
              </w:rPr>
              <w:t>podeljen</w:t>
            </w:r>
            <w:r w:rsidR="009E33F0" w:rsidRPr="00415392">
              <w:rPr>
                <w:rFonts w:ascii="Times New Roman" w:hAnsi="Times New Roman" w:cs="Times New Roman"/>
                <w:sz w:val="24"/>
                <w:szCs w:val="24"/>
                <w:lang w:val="sr-Latn-CS"/>
              </w:rPr>
              <w:t xml:space="preserve"> </w:t>
            </w:r>
            <w:r w:rsidRPr="00415392">
              <w:rPr>
                <w:rFonts w:ascii="Times New Roman" w:hAnsi="Times New Roman" w:cs="Times New Roman"/>
                <w:sz w:val="24"/>
                <w:szCs w:val="24"/>
                <w:lang w:val="sr-Latn-CS"/>
              </w:rPr>
              <w:t>na</w:t>
            </w:r>
            <w:r w:rsidR="009E33F0" w:rsidRPr="00415392">
              <w:rPr>
                <w:rFonts w:ascii="Times New Roman" w:hAnsi="Times New Roman" w:cs="Times New Roman"/>
                <w:sz w:val="24"/>
                <w:szCs w:val="24"/>
                <w:lang w:val="sr-Latn-CS"/>
              </w:rPr>
              <w:t xml:space="preserve"> </w:t>
            </w:r>
            <w:r w:rsidRPr="00415392">
              <w:rPr>
                <w:rFonts w:ascii="Times New Roman" w:hAnsi="Times New Roman" w:cs="Times New Roman"/>
                <w:sz w:val="24"/>
                <w:szCs w:val="24"/>
                <w:lang w:val="sr-Latn-CS"/>
              </w:rPr>
              <w:t>partije</w:t>
            </w:r>
            <w:r w:rsidR="004511C2" w:rsidRPr="00415392">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1C90460C" w14:textId="77777777" w:rsidR="002D6E25" w:rsidRPr="00415392" w:rsidRDefault="00F846DE" w:rsidP="009C6217">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w:t>
            </w:r>
          </w:p>
        </w:tc>
      </w:tr>
      <w:tr w:rsidR="002D6E25" w:rsidRPr="00C13DF4" w14:paraId="66C2FBBA" w14:textId="77777777" w:rsidTr="009C6217">
        <w:tc>
          <w:tcPr>
            <w:tcW w:w="383" w:type="pct"/>
            <w:shd w:val="clear" w:color="auto" w:fill="FFFFFF"/>
            <w:tcMar>
              <w:top w:w="0" w:type="dxa"/>
              <w:left w:w="108" w:type="dxa"/>
              <w:bottom w:w="0" w:type="dxa"/>
              <w:right w:w="108" w:type="dxa"/>
            </w:tcMar>
          </w:tcPr>
          <w:p w14:paraId="41DB356E" w14:textId="77777777" w:rsidR="002D6E25" w:rsidRPr="00D40491"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119D9DFF" w14:textId="77777777" w:rsidR="00083F35" w:rsidRPr="00D40491" w:rsidRDefault="00F5074E" w:rsidP="009E33F0">
            <w:pPr>
              <w:spacing w:before="60" w:after="60" w:line="240" w:lineRule="auto"/>
              <w:rPr>
                <w:rFonts w:ascii="Times New Roman" w:hAnsi="Times New Roman" w:cs="Times New Roman"/>
                <w:sz w:val="24"/>
                <w:szCs w:val="24"/>
                <w:lang w:val="sr-Latn-CS"/>
              </w:rPr>
            </w:pPr>
            <w:r w:rsidRPr="00D40491">
              <w:rPr>
                <w:rFonts w:ascii="Times New Roman" w:hAnsi="Times New Roman" w:cs="Times New Roman"/>
                <w:sz w:val="24"/>
                <w:szCs w:val="24"/>
                <w:lang w:val="sr-Latn-CS"/>
              </w:rPr>
              <w:t>Trajanje</w:t>
            </w:r>
            <w:r w:rsidR="009E33F0"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i</w:t>
            </w:r>
            <w:r w:rsidR="009E33F0"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tip</w:t>
            </w:r>
            <w:r w:rsidR="009E33F0"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okvirnog</w:t>
            </w:r>
            <w:r w:rsidR="009E33F0"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ugovora</w:t>
            </w:r>
            <w:r w:rsidR="004511C2"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okvirni</w:t>
            </w:r>
            <w:r w:rsidR="009E33F0"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ugovor</w:t>
            </w:r>
            <w:r w:rsidR="009E33F0"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sa</w:t>
            </w:r>
            <w:r w:rsidR="009E33F0"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jednim</w:t>
            </w:r>
            <w:r w:rsidR="009E33F0"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dobavljačem</w:t>
            </w:r>
            <w:r w:rsidR="009E33F0"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ili</w:t>
            </w:r>
            <w:r w:rsidR="009E33F0"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sa</w:t>
            </w:r>
            <w:r w:rsidR="009E33F0"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više</w:t>
            </w:r>
            <w:r w:rsidR="009E33F0"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dobavljača</w:t>
            </w:r>
            <w:r w:rsidR="004511C2"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ako</w:t>
            </w:r>
            <w:r w:rsidR="009E33F0"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se</w:t>
            </w:r>
            <w:r w:rsidR="009E33F0"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zaključuje</w:t>
            </w:r>
            <w:r w:rsidR="009E33F0"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okvirni</w:t>
            </w:r>
            <w:r w:rsidR="009E33F0" w:rsidRPr="00D40491">
              <w:rPr>
                <w:rFonts w:ascii="Times New Roman" w:hAnsi="Times New Roman" w:cs="Times New Roman"/>
                <w:sz w:val="24"/>
                <w:szCs w:val="24"/>
                <w:lang w:val="sr-Latn-CS"/>
              </w:rPr>
              <w:t xml:space="preserve"> </w:t>
            </w:r>
            <w:r w:rsidRPr="00D40491">
              <w:rPr>
                <w:rFonts w:ascii="Times New Roman" w:hAnsi="Times New Roman" w:cs="Times New Roman"/>
                <w:sz w:val="24"/>
                <w:szCs w:val="24"/>
                <w:lang w:val="sr-Latn-CS"/>
              </w:rPr>
              <w:t>ugovor</w:t>
            </w:r>
            <w:r w:rsidR="004511C2" w:rsidRPr="00D40491">
              <w:rPr>
                <w:rFonts w:ascii="Times New Roman" w:hAnsi="Times New Roman" w:cs="Times New Roman"/>
                <w:sz w:val="24"/>
                <w:szCs w:val="24"/>
                <w:lang w:val="sr-Latn-CS"/>
              </w:rPr>
              <w:t>:</w:t>
            </w:r>
          </w:p>
        </w:tc>
      </w:tr>
      <w:tr w:rsidR="002D6E25" w:rsidRPr="00C13DF4" w14:paraId="5E19AA7C" w14:textId="77777777" w:rsidTr="009C6217">
        <w:trPr>
          <w:trHeight w:val="1720"/>
        </w:trPr>
        <w:tc>
          <w:tcPr>
            <w:tcW w:w="383" w:type="pct"/>
            <w:shd w:val="clear" w:color="auto" w:fill="FFFFFF"/>
            <w:tcMar>
              <w:top w:w="0" w:type="dxa"/>
              <w:left w:w="108" w:type="dxa"/>
              <w:bottom w:w="0" w:type="dxa"/>
              <w:right w:w="108" w:type="dxa"/>
            </w:tcMar>
          </w:tcPr>
          <w:p w14:paraId="61400255"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C6D9F1"/>
            <w:tcMar>
              <w:top w:w="0" w:type="dxa"/>
              <w:left w:w="108" w:type="dxa"/>
              <w:bottom w:w="0" w:type="dxa"/>
              <w:right w:w="108" w:type="dxa"/>
            </w:tcMar>
          </w:tcPr>
          <w:p w14:paraId="6FA66911" w14:textId="77777777" w:rsidR="002D6E25" w:rsidRPr="00C13DF4" w:rsidRDefault="00F5074E" w:rsidP="009C6217">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b/>
                <w:sz w:val="24"/>
                <w:szCs w:val="24"/>
                <w:lang w:val="sr-Latn-CS"/>
              </w:rPr>
              <w:t>Nije</w:t>
            </w:r>
            <w:r w:rsidR="00A92081" w:rsidRPr="00C13DF4">
              <w:rPr>
                <w:rFonts w:ascii="Times New Roman" w:hAnsi="Times New Roman" w:cs="Times New Roman"/>
                <w:b/>
                <w:sz w:val="24"/>
                <w:szCs w:val="24"/>
                <w:lang w:val="sr-Latn-CS"/>
              </w:rPr>
              <w:t xml:space="preserve"> </w:t>
            </w:r>
            <w:r w:rsidR="00F60401">
              <w:rPr>
                <w:rFonts w:ascii="Times New Roman" w:hAnsi="Times New Roman" w:cs="Times New Roman"/>
                <w:b/>
                <w:sz w:val="24"/>
                <w:szCs w:val="24"/>
                <w:lang w:val="sr-Latn-CS"/>
              </w:rPr>
              <w:t>primen</w:t>
            </w:r>
            <w:r w:rsidRPr="00C13DF4">
              <w:rPr>
                <w:rFonts w:ascii="Times New Roman" w:hAnsi="Times New Roman" w:cs="Times New Roman"/>
                <w:b/>
                <w:sz w:val="24"/>
                <w:szCs w:val="24"/>
                <w:lang w:val="sr-Latn-CS"/>
              </w:rPr>
              <w:t>jivo</w:t>
            </w:r>
          </w:p>
        </w:tc>
      </w:tr>
      <w:tr w:rsidR="002D6E25" w:rsidRPr="00C13DF4" w14:paraId="3D0E11BB" w14:textId="77777777" w:rsidTr="009C6217">
        <w:trPr>
          <w:trHeight w:val="226"/>
        </w:trPr>
        <w:tc>
          <w:tcPr>
            <w:tcW w:w="383" w:type="pct"/>
            <w:shd w:val="clear" w:color="auto" w:fill="FFFFFF"/>
            <w:tcMar>
              <w:top w:w="0" w:type="dxa"/>
              <w:left w:w="108" w:type="dxa"/>
              <w:bottom w:w="0" w:type="dxa"/>
              <w:right w:w="108" w:type="dxa"/>
            </w:tcMar>
          </w:tcPr>
          <w:p w14:paraId="19AE33E3"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4B0940F7" w14:textId="77777777" w:rsidR="002D6E25" w:rsidRPr="00C13DF4" w:rsidRDefault="002D6E25" w:rsidP="009C6217">
            <w:pPr>
              <w:spacing w:before="60" w:after="60" w:line="240" w:lineRule="auto"/>
              <w:rPr>
                <w:rFonts w:ascii="Times New Roman" w:hAnsi="Times New Roman" w:cs="Times New Roman"/>
                <w:sz w:val="24"/>
                <w:szCs w:val="24"/>
                <w:lang w:val="sr-Latn-CS"/>
              </w:rPr>
            </w:pPr>
          </w:p>
        </w:tc>
      </w:tr>
      <w:tr w:rsidR="002D6E25" w:rsidRPr="00C13DF4" w14:paraId="3CCA5F6A" w14:textId="77777777" w:rsidTr="009C6217">
        <w:trPr>
          <w:trHeight w:val="745"/>
        </w:trPr>
        <w:tc>
          <w:tcPr>
            <w:tcW w:w="383" w:type="pct"/>
            <w:shd w:val="clear" w:color="auto" w:fill="FFFFFF"/>
            <w:tcMar>
              <w:top w:w="0" w:type="dxa"/>
              <w:left w:w="108" w:type="dxa"/>
              <w:bottom w:w="0" w:type="dxa"/>
              <w:right w:w="108" w:type="dxa"/>
            </w:tcMar>
          </w:tcPr>
          <w:p w14:paraId="5FCB1025"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0C3733C9" w14:textId="77777777" w:rsidR="002D6E25" w:rsidRPr="00C13DF4" w:rsidRDefault="00F5074E" w:rsidP="009E33F0">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Kriterijumi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kvalifikacije</w:t>
            </w:r>
            <w:r w:rsidR="004511C2" w:rsidRPr="00C13DF4">
              <w:rPr>
                <w:rFonts w:ascii="Times New Roman" w:hAnsi="Times New Roman" w:cs="Times New Roman"/>
                <w:sz w:val="24"/>
                <w:szCs w:val="24"/>
                <w:lang w:val="sr-Latn-CS"/>
              </w:rPr>
              <w:t>:</w:t>
            </w:r>
          </w:p>
        </w:tc>
      </w:tr>
      <w:tr w:rsidR="002D6E25" w:rsidRPr="00C13DF4" w14:paraId="0E8BEE89" w14:textId="77777777" w:rsidTr="009C6217">
        <w:trPr>
          <w:trHeight w:val="1720"/>
        </w:trPr>
        <w:tc>
          <w:tcPr>
            <w:tcW w:w="383" w:type="pct"/>
            <w:shd w:val="clear" w:color="auto" w:fill="FFFFFF"/>
            <w:tcMar>
              <w:top w:w="0" w:type="dxa"/>
              <w:left w:w="108" w:type="dxa"/>
              <w:bottom w:w="0" w:type="dxa"/>
              <w:right w:w="108" w:type="dxa"/>
            </w:tcMar>
          </w:tcPr>
          <w:p w14:paraId="3ABB4498"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3D4341F4" w14:textId="77777777" w:rsidR="00F715B5" w:rsidRPr="00C13DF4" w:rsidRDefault="00F5074E" w:rsidP="009C6217">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Pravo</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učešća</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imaju</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sva</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zainteresovana</w:t>
            </w:r>
            <w:r w:rsidR="009F5074"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lica</w:t>
            </w:r>
            <w:r w:rsidR="009F5074"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koja</w:t>
            </w:r>
            <w:r w:rsidR="009F5074"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nastupaju</w:t>
            </w:r>
            <w:r w:rsidR="00BA0697"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pojedinačno</w:t>
            </w:r>
            <w:r w:rsidR="00BA0697"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ili</w:t>
            </w:r>
            <w:r w:rsidR="00BA0697"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w:t>
            </w:r>
            <w:r w:rsidR="00BA0697"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grupi</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a</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koja</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ispunjavaju</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kriterijume</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učešće</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definisane</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delu</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tenderske</w:t>
            </w:r>
            <w:r w:rsidR="00F715B5"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dokumenacije</w:t>
            </w:r>
            <w:r w:rsidR="00412F3F"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Uputstvo</w:t>
            </w:r>
            <w:r w:rsidR="00412F3F"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w:t>
            </w:r>
            <w:r w:rsidR="00412F3F"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ponuđače</w:t>
            </w:r>
            <w:r w:rsidR="00412F3F"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Odeljak</w:t>
            </w:r>
            <w:r w:rsidR="00412F3F" w:rsidRPr="00C13DF4">
              <w:rPr>
                <w:rFonts w:ascii="Times New Roman" w:hAnsi="Times New Roman" w:cs="Times New Roman"/>
                <w:sz w:val="24"/>
                <w:szCs w:val="24"/>
                <w:lang w:val="sr-Latn-CS"/>
              </w:rPr>
              <w:t xml:space="preserve"> 3:</w:t>
            </w:r>
            <w:r w:rsidR="00D40491">
              <w:rPr>
                <w:rFonts w:ascii="Times New Roman" w:hAnsi="Times New Roman" w:cs="Times New Roman"/>
                <w:sz w:val="24"/>
                <w:szCs w:val="24"/>
                <w:lang w:val="sr-Latn-CS"/>
              </w:rPr>
              <w:t>Pravo učešća</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kao</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uslove</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definisane</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w:t>
            </w:r>
            <w:r w:rsidR="00246CA2" w:rsidRPr="00C13DF4">
              <w:rPr>
                <w:rFonts w:ascii="Times New Roman" w:hAnsi="Times New Roman" w:cs="Times New Roman"/>
                <w:sz w:val="24"/>
                <w:szCs w:val="24"/>
                <w:lang w:val="sr-Latn-CS"/>
              </w:rPr>
              <w:t xml:space="preserve"> </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Vodiču</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nabavku</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dobara</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radova</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usluga</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Banke</w:t>
            </w:r>
            <w:r w:rsidR="00BF3B9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w:t>
            </w:r>
            <w:r w:rsidR="00BF3B9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razvoj</w:t>
            </w:r>
            <w:r w:rsidR="00BF3B9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saveta</w:t>
            </w:r>
            <w:r w:rsidR="00BF3B9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Evrope</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Odeljak</w:t>
            </w:r>
            <w:r w:rsidR="00E216C1" w:rsidRPr="00C13DF4">
              <w:rPr>
                <w:rFonts w:ascii="Times New Roman" w:hAnsi="Times New Roman" w:cs="Times New Roman"/>
                <w:sz w:val="24"/>
                <w:szCs w:val="24"/>
                <w:lang w:val="sr-Latn-CS"/>
              </w:rPr>
              <w:t xml:space="preserve"> 3.3: </w:t>
            </w:r>
            <w:r w:rsidRPr="00C13DF4">
              <w:rPr>
                <w:rFonts w:ascii="Times New Roman" w:hAnsi="Times New Roman" w:cs="Times New Roman"/>
                <w:sz w:val="24"/>
                <w:szCs w:val="24"/>
                <w:lang w:val="sr-Latn-CS"/>
              </w:rPr>
              <w:t>Podobnost</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učestvovanje</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postupku</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obezbeđivanje</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dobara</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radova</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usluga</w:t>
            </w:r>
            <w:r w:rsidR="002B65C9" w:rsidRPr="00C13DF4">
              <w:rPr>
                <w:rFonts w:ascii="Times New Roman" w:hAnsi="Times New Roman" w:cs="Times New Roman"/>
                <w:sz w:val="24"/>
                <w:szCs w:val="24"/>
                <w:lang w:val="sr-Latn-CS"/>
              </w:rPr>
              <w:t>.</w:t>
            </w:r>
          </w:p>
          <w:p w14:paraId="5845F319" w14:textId="77777777" w:rsidR="00527DE7" w:rsidRPr="00527DE7" w:rsidRDefault="00C25F2F" w:rsidP="00527DE7">
            <w:pPr>
              <w:spacing w:before="60" w:after="60" w:line="240" w:lineRule="auto"/>
              <w:rPr>
                <w:rFonts w:ascii="Times New Roman" w:hAnsi="Times New Roman" w:cs="Times New Roman"/>
                <w:color w:val="0000FF" w:themeColor="hyperlink"/>
                <w:sz w:val="24"/>
                <w:szCs w:val="24"/>
                <w:u w:val="single"/>
                <w:lang w:val="sr-Latn-CS"/>
              </w:rPr>
            </w:pPr>
            <w:r w:rsidRPr="00C25F2F">
              <w:rPr>
                <w:rFonts w:ascii="Times New Roman" w:hAnsi="Times New Roman" w:cs="Times New Roman"/>
                <w:color w:val="0000FF" w:themeColor="hyperlink"/>
                <w:sz w:val="24"/>
                <w:szCs w:val="24"/>
                <w:u w:val="single"/>
                <w:lang w:val="sr-Latn-CS"/>
              </w:rPr>
              <w:t>http://www.coebank.org/documents/107/Procurement_Guidelines_LJhjgEt.pdf</w:t>
            </w:r>
          </w:p>
        </w:tc>
      </w:tr>
      <w:tr w:rsidR="002D6E25" w:rsidRPr="00C13DF4" w14:paraId="087E12C1" w14:textId="77777777" w:rsidTr="009C6217">
        <w:trPr>
          <w:trHeight w:val="236"/>
        </w:trPr>
        <w:tc>
          <w:tcPr>
            <w:tcW w:w="383" w:type="pct"/>
            <w:shd w:val="clear" w:color="auto" w:fill="FFFFFF"/>
            <w:tcMar>
              <w:top w:w="0" w:type="dxa"/>
              <w:left w:w="108" w:type="dxa"/>
              <w:bottom w:w="0" w:type="dxa"/>
              <w:right w:w="108" w:type="dxa"/>
            </w:tcMar>
          </w:tcPr>
          <w:p w14:paraId="294AB930"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32AF41DA"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63D60469" w14:textId="77777777" w:rsidTr="009C6217">
        <w:trPr>
          <w:trHeight w:val="745"/>
        </w:trPr>
        <w:tc>
          <w:tcPr>
            <w:tcW w:w="383" w:type="pct"/>
            <w:shd w:val="clear" w:color="auto" w:fill="FFFFFF"/>
            <w:tcMar>
              <w:top w:w="0" w:type="dxa"/>
              <w:left w:w="108" w:type="dxa"/>
              <w:bottom w:w="0" w:type="dxa"/>
              <w:right w:w="108" w:type="dxa"/>
            </w:tcMar>
          </w:tcPr>
          <w:p w14:paraId="67A21F52"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5198893F" w14:textId="77777777" w:rsidR="002D6E25" w:rsidRPr="00C13DF4" w:rsidRDefault="00F5074E" w:rsidP="009E33F0">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Kriterijumi</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izbora</w:t>
            </w:r>
            <w:r w:rsidR="004511C2" w:rsidRPr="00C13DF4">
              <w:rPr>
                <w:rFonts w:ascii="Times New Roman" w:hAnsi="Times New Roman" w:cs="Times New Roman"/>
                <w:sz w:val="24"/>
                <w:szCs w:val="24"/>
              </w:rPr>
              <w:t>:</w:t>
            </w:r>
          </w:p>
        </w:tc>
      </w:tr>
      <w:tr w:rsidR="002D6E25" w:rsidRPr="00DA6B3F" w14:paraId="261A1DF1" w14:textId="77777777" w:rsidTr="009C6217">
        <w:trPr>
          <w:trHeight w:val="1720"/>
        </w:trPr>
        <w:tc>
          <w:tcPr>
            <w:tcW w:w="383" w:type="pct"/>
            <w:shd w:val="clear" w:color="auto" w:fill="FFFFFF"/>
            <w:tcMar>
              <w:top w:w="0" w:type="dxa"/>
              <w:left w:w="108" w:type="dxa"/>
              <w:bottom w:w="0" w:type="dxa"/>
              <w:right w:w="108" w:type="dxa"/>
            </w:tcMar>
          </w:tcPr>
          <w:p w14:paraId="247417C6"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14C0C26D" w14:textId="77777777" w:rsidR="008A5B70" w:rsidRPr="00DA6B3F" w:rsidRDefault="00F5074E" w:rsidP="00A92081">
            <w:pPr>
              <w:spacing w:before="60" w:after="60" w:line="240" w:lineRule="auto"/>
              <w:jc w:val="both"/>
              <w:rPr>
                <w:rFonts w:ascii="Times New Roman" w:hAnsi="Times New Roman" w:cs="Times New Roman"/>
                <w:sz w:val="24"/>
                <w:szCs w:val="24"/>
                <w:lang w:val="sr-Latn-RS"/>
              </w:rPr>
            </w:pPr>
            <w:r w:rsidRPr="00DA6B3F">
              <w:rPr>
                <w:rFonts w:ascii="Times New Roman" w:hAnsi="Times New Roman" w:cs="Times New Roman"/>
                <w:sz w:val="24"/>
                <w:szCs w:val="24"/>
              </w:rPr>
              <w:t>Ponuđači</w:t>
            </w:r>
            <w:r w:rsidR="00AB2B7D" w:rsidRPr="00DA6B3F">
              <w:rPr>
                <w:rFonts w:ascii="Times New Roman" w:hAnsi="Times New Roman" w:cs="Times New Roman"/>
                <w:sz w:val="24"/>
                <w:szCs w:val="24"/>
              </w:rPr>
              <w:t xml:space="preserve"> </w:t>
            </w:r>
            <w:r w:rsidRPr="00DA6B3F">
              <w:rPr>
                <w:rFonts w:ascii="Times New Roman" w:hAnsi="Times New Roman" w:cs="Times New Roman"/>
                <w:sz w:val="24"/>
                <w:szCs w:val="24"/>
              </w:rPr>
              <w:t>su</w:t>
            </w:r>
            <w:r w:rsidR="00AB2B7D" w:rsidRPr="00DA6B3F">
              <w:rPr>
                <w:rFonts w:ascii="Times New Roman" w:hAnsi="Times New Roman" w:cs="Times New Roman"/>
                <w:sz w:val="24"/>
                <w:szCs w:val="24"/>
              </w:rPr>
              <w:t xml:space="preserve"> </w:t>
            </w:r>
            <w:r w:rsidRPr="00DA6B3F">
              <w:rPr>
                <w:rFonts w:ascii="Times New Roman" w:hAnsi="Times New Roman" w:cs="Times New Roman"/>
                <w:sz w:val="24"/>
                <w:szCs w:val="24"/>
              </w:rPr>
              <w:t>u</w:t>
            </w:r>
            <w:r w:rsidR="00AB2B7D" w:rsidRPr="00DA6B3F">
              <w:rPr>
                <w:rFonts w:ascii="Times New Roman" w:hAnsi="Times New Roman" w:cs="Times New Roman"/>
                <w:sz w:val="24"/>
                <w:szCs w:val="24"/>
              </w:rPr>
              <w:t xml:space="preserve"> </w:t>
            </w:r>
            <w:r w:rsidRPr="00DA6B3F">
              <w:rPr>
                <w:rFonts w:ascii="Times New Roman" w:hAnsi="Times New Roman" w:cs="Times New Roman"/>
                <w:sz w:val="24"/>
                <w:szCs w:val="24"/>
              </w:rPr>
              <w:t>obavezi</w:t>
            </w:r>
            <w:r w:rsidR="00AB2B7D" w:rsidRPr="00DA6B3F">
              <w:rPr>
                <w:rFonts w:ascii="Times New Roman" w:hAnsi="Times New Roman" w:cs="Times New Roman"/>
                <w:sz w:val="24"/>
                <w:szCs w:val="24"/>
              </w:rPr>
              <w:t xml:space="preserve"> </w:t>
            </w:r>
            <w:r w:rsidRPr="00DA6B3F">
              <w:rPr>
                <w:rFonts w:ascii="Times New Roman" w:hAnsi="Times New Roman" w:cs="Times New Roman"/>
                <w:sz w:val="24"/>
                <w:szCs w:val="24"/>
              </w:rPr>
              <w:t>da</w:t>
            </w:r>
            <w:r w:rsidR="00AB2B7D" w:rsidRPr="00DA6B3F">
              <w:rPr>
                <w:rFonts w:ascii="Times New Roman" w:hAnsi="Times New Roman" w:cs="Times New Roman"/>
                <w:sz w:val="24"/>
                <w:szCs w:val="24"/>
              </w:rPr>
              <w:t xml:space="preserve"> </w:t>
            </w:r>
            <w:r w:rsidRPr="00DA6B3F">
              <w:rPr>
                <w:rFonts w:ascii="Times New Roman" w:hAnsi="Times New Roman" w:cs="Times New Roman"/>
                <w:sz w:val="24"/>
                <w:szCs w:val="24"/>
              </w:rPr>
              <w:t>ispune</w:t>
            </w:r>
            <w:r w:rsidR="00AB2B7D" w:rsidRPr="00DA6B3F">
              <w:rPr>
                <w:rFonts w:ascii="Times New Roman" w:hAnsi="Times New Roman" w:cs="Times New Roman"/>
                <w:sz w:val="24"/>
                <w:szCs w:val="24"/>
              </w:rPr>
              <w:t xml:space="preserve"> </w:t>
            </w:r>
            <w:r w:rsidR="007B61F7" w:rsidRPr="00DA6B3F">
              <w:rPr>
                <w:rFonts w:ascii="Times New Roman" w:hAnsi="Times New Roman" w:cs="Times New Roman"/>
                <w:sz w:val="24"/>
                <w:szCs w:val="24"/>
              </w:rPr>
              <w:t>dole</w:t>
            </w:r>
            <w:r w:rsidR="00014289" w:rsidRPr="00DA6B3F">
              <w:rPr>
                <w:rFonts w:ascii="Times New Roman" w:hAnsi="Times New Roman" w:cs="Times New Roman"/>
                <w:sz w:val="24"/>
                <w:szCs w:val="24"/>
                <w:lang w:val="sr-Latn-CS"/>
              </w:rPr>
              <w:t xml:space="preserve"> n</w:t>
            </w:r>
            <w:r w:rsidRPr="00DA6B3F">
              <w:rPr>
                <w:rFonts w:ascii="Times New Roman" w:hAnsi="Times New Roman" w:cs="Times New Roman"/>
                <w:sz w:val="24"/>
                <w:szCs w:val="24"/>
              </w:rPr>
              <w:t>av</w:t>
            </w:r>
            <w:r w:rsidR="00014289" w:rsidRPr="00DA6B3F">
              <w:rPr>
                <w:rFonts w:ascii="Times New Roman" w:hAnsi="Times New Roman" w:cs="Times New Roman"/>
                <w:sz w:val="24"/>
                <w:szCs w:val="24"/>
                <w:lang w:val="sr-Latn-CS"/>
              </w:rPr>
              <w:t>e</w:t>
            </w:r>
            <w:r w:rsidRPr="00DA6B3F">
              <w:rPr>
                <w:rFonts w:ascii="Times New Roman" w:hAnsi="Times New Roman" w:cs="Times New Roman"/>
                <w:sz w:val="24"/>
                <w:szCs w:val="24"/>
              </w:rPr>
              <w:t>dene</w:t>
            </w:r>
            <w:r w:rsidR="00AB2B7D" w:rsidRPr="00DA6B3F">
              <w:rPr>
                <w:rFonts w:ascii="Times New Roman" w:hAnsi="Times New Roman" w:cs="Times New Roman"/>
                <w:sz w:val="24"/>
                <w:szCs w:val="24"/>
              </w:rPr>
              <w:t xml:space="preserve"> </w:t>
            </w:r>
            <w:r w:rsidRPr="00DA6B3F">
              <w:rPr>
                <w:rFonts w:ascii="Times New Roman" w:hAnsi="Times New Roman" w:cs="Times New Roman"/>
                <w:sz w:val="24"/>
                <w:szCs w:val="24"/>
              </w:rPr>
              <w:t>uslove</w:t>
            </w:r>
            <w:r w:rsidR="008A5B70" w:rsidRPr="00DA6B3F">
              <w:rPr>
                <w:rFonts w:ascii="Times New Roman" w:hAnsi="Times New Roman" w:cs="Times New Roman"/>
                <w:sz w:val="24"/>
                <w:szCs w:val="24"/>
                <w:lang w:val="sr-Latn-RS"/>
              </w:rPr>
              <w:t>:</w:t>
            </w:r>
            <w:r w:rsidR="00246CA2" w:rsidRPr="00DA6B3F">
              <w:rPr>
                <w:rFonts w:ascii="Times New Roman" w:hAnsi="Times New Roman" w:cs="Times New Roman"/>
                <w:sz w:val="24"/>
                <w:szCs w:val="24"/>
              </w:rPr>
              <w:t xml:space="preserve"> </w:t>
            </w:r>
          </w:p>
          <w:p w14:paraId="41EF8B9E" w14:textId="77777777" w:rsidR="008A5B70" w:rsidRPr="00DA6B3F" w:rsidRDefault="008A5B70" w:rsidP="00A92081">
            <w:pPr>
              <w:spacing w:before="60" w:after="60" w:line="240" w:lineRule="auto"/>
              <w:jc w:val="both"/>
              <w:rPr>
                <w:rFonts w:ascii="Times New Roman" w:hAnsi="Times New Roman" w:cs="Times New Roman"/>
                <w:sz w:val="24"/>
                <w:szCs w:val="24"/>
                <w:lang w:val="sr-Latn-RS"/>
              </w:rPr>
            </w:pPr>
          </w:p>
          <w:p w14:paraId="1DCBF2D5" w14:textId="77777777" w:rsidR="00215659" w:rsidRPr="00DA6B3F" w:rsidRDefault="007B61F7" w:rsidP="00A92081">
            <w:pPr>
              <w:spacing w:before="60" w:after="60" w:line="240" w:lineRule="auto"/>
              <w:jc w:val="both"/>
              <w:rPr>
                <w:rFonts w:ascii="Times New Roman" w:hAnsi="Times New Roman" w:cs="Times New Roman"/>
                <w:sz w:val="24"/>
                <w:szCs w:val="24"/>
              </w:rPr>
            </w:pPr>
            <w:r w:rsidRPr="00DA6B3F">
              <w:rPr>
                <w:rFonts w:ascii="Times New Roman" w:hAnsi="Times New Roman" w:cs="Times New Roman"/>
                <w:b/>
                <w:sz w:val="24"/>
                <w:szCs w:val="24"/>
              </w:rPr>
              <w:t xml:space="preserve">1. </w:t>
            </w:r>
            <w:r w:rsidR="00D40491" w:rsidRPr="00DA6B3F">
              <w:rPr>
                <w:rFonts w:ascii="Times New Roman" w:hAnsi="Times New Roman" w:cs="Times New Roman"/>
                <w:b/>
                <w:sz w:val="24"/>
                <w:szCs w:val="24"/>
                <w:lang w:val="sr-Latn-CS"/>
              </w:rPr>
              <w:t>F</w:t>
            </w:r>
            <w:r w:rsidR="00F5074E" w:rsidRPr="00DA6B3F">
              <w:rPr>
                <w:rFonts w:ascii="Times New Roman" w:hAnsi="Times New Roman" w:cs="Times New Roman"/>
                <w:b/>
                <w:sz w:val="24"/>
                <w:szCs w:val="24"/>
              </w:rPr>
              <w:t>inansijski</w:t>
            </w:r>
            <w:r w:rsidR="009C3B32" w:rsidRPr="00DA6B3F">
              <w:rPr>
                <w:rFonts w:ascii="Times New Roman" w:hAnsi="Times New Roman" w:cs="Times New Roman"/>
                <w:b/>
                <w:sz w:val="24"/>
                <w:szCs w:val="24"/>
              </w:rPr>
              <w:t xml:space="preserve"> </w:t>
            </w:r>
            <w:r w:rsidR="00F5074E" w:rsidRPr="00DA6B3F">
              <w:rPr>
                <w:rFonts w:ascii="Times New Roman" w:hAnsi="Times New Roman" w:cs="Times New Roman"/>
                <w:b/>
                <w:sz w:val="24"/>
                <w:szCs w:val="24"/>
              </w:rPr>
              <w:t>kapacitet</w:t>
            </w:r>
            <w:r w:rsidR="009C3B32" w:rsidRPr="00DA6B3F">
              <w:rPr>
                <w:rFonts w:ascii="Times New Roman" w:hAnsi="Times New Roman" w:cs="Times New Roman"/>
                <w:b/>
                <w:sz w:val="24"/>
                <w:szCs w:val="24"/>
              </w:rPr>
              <w:t xml:space="preserve"> </w:t>
            </w:r>
            <w:r w:rsidR="00F5074E" w:rsidRPr="00DA6B3F">
              <w:rPr>
                <w:rFonts w:ascii="Times New Roman" w:hAnsi="Times New Roman" w:cs="Times New Roman"/>
                <w:b/>
                <w:sz w:val="24"/>
                <w:szCs w:val="24"/>
              </w:rPr>
              <w:t>ponuđača</w:t>
            </w:r>
            <w:r w:rsidR="009C3B32" w:rsidRPr="00DA6B3F">
              <w:rPr>
                <w:rFonts w:ascii="Times New Roman" w:hAnsi="Times New Roman" w:cs="Times New Roman"/>
                <w:sz w:val="24"/>
                <w:szCs w:val="24"/>
              </w:rPr>
              <w:t xml:space="preserve">: </w:t>
            </w:r>
          </w:p>
          <w:p w14:paraId="342FA554" w14:textId="77777777" w:rsidR="0055433D" w:rsidRPr="00DA6B3F" w:rsidRDefault="00A92081" w:rsidP="00A92081">
            <w:pPr>
              <w:spacing w:before="60" w:after="60" w:line="240" w:lineRule="auto"/>
              <w:jc w:val="both"/>
              <w:rPr>
                <w:rFonts w:ascii="Times New Roman" w:hAnsi="Times New Roman" w:cs="Times New Roman"/>
                <w:sz w:val="24"/>
                <w:szCs w:val="24"/>
              </w:rPr>
            </w:pPr>
            <w:r w:rsidRPr="00DA6B3F">
              <w:rPr>
                <w:rFonts w:ascii="Times New Roman" w:hAnsi="Times New Roman" w:cs="Times New Roman"/>
                <w:sz w:val="24"/>
                <w:szCs w:val="24"/>
              </w:rPr>
              <w:t xml:space="preserve">a) </w:t>
            </w:r>
            <w:r w:rsidR="00F5074E" w:rsidRPr="00DA6B3F">
              <w:rPr>
                <w:rFonts w:ascii="Times New Roman" w:hAnsi="Times New Roman" w:cs="Times New Roman"/>
                <w:sz w:val="24"/>
                <w:szCs w:val="24"/>
              </w:rPr>
              <w:t>Da</w:t>
            </w:r>
            <w:r w:rsidR="00274922"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ponuđač</w:t>
            </w:r>
            <w:r w:rsidR="0055433D"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nije</w:t>
            </w:r>
            <w:r w:rsidR="0055433D"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imao</w:t>
            </w:r>
            <w:r w:rsidR="0055433D"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registrovane</w:t>
            </w:r>
            <w:r w:rsidR="0055433D"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blokade</w:t>
            </w:r>
            <w:r w:rsidR="0055433D"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računa</w:t>
            </w:r>
            <w:r w:rsidR="0055433D"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u</w:t>
            </w:r>
            <w:r w:rsidR="0055433D"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poslednjih</w:t>
            </w:r>
            <w:r w:rsidR="00055D3F"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dvanaest</w:t>
            </w:r>
            <w:r w:rsidR="00055D3F" w:rsidRPr="00DA6B3F">
              <w:rPr>
                <w:rFonts w:ascii="Times New Roman" w:hAnsi="Times New Roman" w:cs="Times New Roman"/>
                <w:sz w:val="24"/>
                <w:szCs w:val="24"/>
              </w:rPr>
              <w:t xml:space="preserve"> (12</w:t>
            </w:r>
            <w:r w:rsidR="00274922"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meseci</w:t>
            </w:r>
            <w:r w:rsidR="00274922" w:rsidRPr="00DA6B3F">
              <w:rPr>
                <w:rFonts w:ascii="Times New Roman" w:hAnsi="Times New Roman" w:cs="Times New Roman"/>
                <w:sz w:val="24"/>
                <w:szCs w:val="24"/>
              </w:rPr>
              <w:t xml:space="preserve"> </w:t>
            </w:r>
            <w:r w:rsidR="00F60401" w:rsidRPr="00DA6B3F">
              <w:rPr>
                <w:rFonts w:ascii="Times New Roman" w:hAnsi="Times New Roman" w:cs="Times New Roman"/>
                <w:sz w:val="24"/>
                <w:szCs w:val="24"/>
                <w:lang w:val="sr-Latn-CS"/>
              </w:rPr>
              <w:t>do</w:t>
            </w:r>
            <w:r w:rsidR="00274922"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dana</w:t>
            </w:r>
            <w:r w:rsidR="00274922"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objavljivanja</w:t>
            </w:r>
            <w:r w:rsidR="00274922"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javnog</w:t>
            </w:r>
            <w:r w:rsidR="0055433D" w:rsidRPr="00DA6B3F">
              <w:rPr>
                <w:rFonts w:ascii="Times New Roman" w:hAnsi="Times New Roman" w:cs="Times New Roman"/>
                <w:sz w:val="24"/>
                <w:szCs w:val="24"/>
              </w:rPr>
              <w:t xml:space="preserve"> </w:t>
            </w:r>
            <w:r w:rsidR="00F5074E" w:rsidRPr="00DA6B3F">
              <w:rPr>
                <w:rFonts w:ascii="Times New Roman" w:hAnsi="Times New Roman" w:cs="Times New Roman"/>
                <w:sz w:val="24"/>
                <w:szCs w:val="24"/>
              </w:rPr>
              <w:t>poziva</w:t>
            </w:r>
            <w:r w:rsidR="00D40491" w:rsidRPr="00DA6B3F">
              <w:rPr>
                <w:rFonts w:ascii="Times New Roman" w:hAnsi="Times New Roman" w:cs="Times New Roman"/>
                <w:sz w:val="24"/>
                <w:szCs w:val="24"/>
                <w:lang w:val="sr-Latn-CS"/>
              </w:rPr>
              <w:t xml:space="preserve"> za podnošenje ponuda</w:t>
            </w:r>
            <w:r w:rsidR="0055433D" w:rsidRPr="00DA6B3F">
              <w:rPr>
                <w:rFonts w:ascii="Times New Roman" w:hAnsi="Times New Roman" w:cs="Times New Roman"/>
                <w:sz w:val="24"/>
                <w:szCs w:val="24"/>
              </w:rPr>
              <w:t xml:space="preserve">. </w:t>
            </w:r>
          </w:p>
          <w:p w14:paraId="22E65A17" w14:textId="77777777" w:rsidR="00DF1EC7" w:rsidRPr="00DA6B3F" w:rsidRDefault="00F5074E" w:rsidP="00A92081">
            <w:pPr>
              <w:spacing w:before="60" w:after="60" w:line="240" w:lineRule="auto"/>
              <w:jc w:val="both"/>
              <w:rPr>
                <w:rFonts w:ascii="Times New Roman" w:hAnsi="Times New Roman" w:cs="Times New Roman"/>
                <w:sz w:val="24"/>
                <w:szCs w:val="24"/>
              </w:rPr>
            </w:pPr>
            <w:r w:rsidRPr="00DA6B3F">
              <w:rPr>
                <w:rFonts w:ascii="Times New Roman" w:hAnsi="Times New Roman" w:cs="Times New Roman"/>
                <w:sz w:val="24"/>
                <w:szCs w:val="24"/>
              </w:rPr>
              <w:t>Ova</w:t>
            </w:r>
            <w:r w:rsidR="0055433D" w:rsidRPr="00DA6B3F">
              <w:rPr>
                <w:rFonts w:ascii="Times New Roman" w:hAnsi="Times New Roman" w:cs="Times New Roman"/>
                <w:sz w:val="24"/>
                <w:szCs w:val="24"/>
              </w:rPr>
              <w:t xml:space="preserve"> </w:t>
            </w:r>
            <w:r w:rsidRPr="00DA6B3F">
              <w:rPr>
                <w:rFonts w:ascii="Times New Roman" w:hAnsi="Times New Roman" w:cs="Times New Roman"/>
                <w:sz w:val="24"/>
                <w:szCs w:val="24"/>
              </w:rPr>
              <w:t>odredba</w:t>
            </w:r>
            <w:r w:rsidR="0055433D" w:rsidRPr="00DA6B3F">
              <w:rPr>
                <w:rFonts w:ascii="Times New Roman" w:hAnsi="Times New Roman" w:cs="Times New Roman"/>
                <w:sz w:val="24"/>
                <w:szCs w:val="24"/>
              </w:rPr>
              <w:t xml:space="preserve"> </w:t>
            </w:r>
            <w:r w:rsidRPr="00DA6B3F">
              <w:rPr>
                <w:rFonts w:ascii="Times New Roman" w:hAnsi="Times New Roman" w:cs="Times New Roman"/>
                <w:sz w:val="24"/>
                <w:szCs w:val="24"/>
              </w:rPr>
              <w:t>odnosi</w:t>
            </w:r>
            <w:r w:rsidR="0055433D" w:rsidRPr="00DA6B3F">
              <w:rPr>
                <w:rFonts w:ascii="Times New Roman" w:hAnsi="Times New Roman" w:cs="Times New Roman"/>
                <w:sz w:val="24"/>
                <w:szCs w:val="24"/>
              </w:rPr>
              <w:t xml:space="preserve"> </w:t>
            </w:r>
            <w:r w:rsidRPr="00DA6B3F">
              <w:rPr>
                <w:rFonts w:ascii="Times New Roman" w:hAnsi="Times New Roman" w:cs="Times New Roman"/>
                <w:sz w:val="24"/>
                <w:szCs w:val="24"/>
              </w:rPr>
              <w:t>se</w:t>
            </w:r>
            <w:r w:rsidR="0055433D" w:rsidRPr="00DA6B3F">
              <w:rPr>
                <w:rFonts w:ascii="Times New Roman" w:hAnsi="Times New Roman" w:cs="Times New Roman"/>
                <w:sz w:val="24"/>
                <w:szCs w:val="24"/>
              </w:rPr>
              <w:t xml:space="preserve"> </w:t>
            </w:r>
            <w:r w:rsidRPr="00DA6B3F">
              <w:rPr>
                <w:rFonts w:ascii="Times New Roman" w:hAnsi="Times New Roman" w:cs="Times New Roman"/>
                <w:sz w:val="24"/>
                <w:szCs w:val="24"/>
              </w:rPr>
              <w:t>na</w:t>
            </w:r>
            <w:r w:rsidR="0055433D" w:rsidRPr="00DA6B3F">
              <w:rPr>
                <w:rFonts w:ascii="Times New Roman" w:hAnsi="Times New Roman" w:cs="Times New Roman"/>
                <w:sz w:val="24"/>
                <w:szCs w:val="24"/>
              </w:rPr>
              <w:t xml:space="preserve"> </w:t>
            </w:r>
            <w:r w:rsidRPr="00DA6B3F">
              <w:rPr>
                <w:rFonts w:ascii="Times New Roman" w:hAnsi="Times New Roman" w:cs="Times New Roman"/>
                <w:sz w:val="24"/>
                <w:szCs w:val="24"/>
              </w:rPr>
              <w:t>sve</w:t>
            </w:r>
            <w:r w:rsidR="0055433D" w:rsidRPr="00DA6B3F">
              <w:rPr>
                <w:rFonts w:ascii="Times New Roman" w:hAnsi="Times New Roman" w:cs="Times New Roman"/>
                <w:sz w:val="24"/>
                <w:szCs w:val="24"/>
              </w:rPr>
              <w:t xml:space="preserve"> </w:t>
            </w:r>
            <w:r w:rsidRPr="00DA6B3F">
              <w:rPr>
                <w:rFonts w:ascii="Times New Roman" w:hAnsi="Times New Roman" w:cs="Times New Roman"/>
                <w:sz w:val="24"/>
                <w:szCs w:val="24"/>
              </w:rPr>
              <w:t>ponuđače</w:t>
            </w:r>
            <w:r w:rsidR="00274922" w:rsidRPr="00DA6B3F">
              <w:rPr>
                <w:rFonts w:ascii="Times New Roman" w:hAnsi="Times New Roman" w:cs="Times New Roman"/>
                <w:sz w:val="24"/>
                <w:szCs w:val="24"/>
              </w:rPr>
              <w:t xml:space="preserve"> </w:t>
            </w:r>
            <w:r w:rsidRPr="00DA6B3F">
              <w:rPr>
                <w:rFonts w:ascii="Times New Roman" w:hAnsi="Times New Roman" w:cs="Times New Roman"/>
                <w:sz w:val="24"/>
                <w:szCs w:val="24"/>
              </w:rPr>
              <w:t>iz</w:t>
            </w:r>
            <w:r w:rsidR="0055433D" w:rsidRPr="00DA6B3F">
              <w:rPr>
                <w:rFonts w:ascii="Times New Roman" w:hAnsi="Times New Roman" w:cs="Times New Roman"/>
                <w:sz w:val="24"/>
                <w:szCs w:val="24"/>
              </w:rPr>
              <w:t xml:space="preserve"> </w:t>
            </w:r>
            <w:r w:rsidRPr="00DA6B3F">
              <w:rPr>
                <w:rFonts w:ascii="Times New Roman" w:hAnsi="Times New Roman" w:cs="Times New Roman"/>
                <w:sz w:val="24"/>
                <w:szCs w:val="24"/>
              </w:rPr>
              <w:t>grupe</w:t>
            </w:r>
            <w:r w:rsidR="0055433D" w:rsidRPr="00DA6B3F">
              <w:rPr>
                <w:rFonts w:ascii="Times New Roman" w:hAnsi="Times New Roman" w:cs="Times New Roman"/>
                <w:sz w:val="24"/>
                <w:szCs w:val="24"/>
              </w:rPr>
              <w:t xml:space="preserve"> </w:t>
            </w:r>
            <w:r w:rsidRPr="00DA6B3F">
              <w:rPr>
                <w:rFonts w:ascii="Times New Roman" w:hAnsi="Times New Roman" w:cs="Times New Roman"/>
                <w:sz w:val="24"/>
                <w:szCs w:val="24"/>
              </w:rPr>
              <w:t>ponuđača</w:t>
            </w:r>
            <w:r w:rsidR="00BE3BCE" w:rsidRPr="00DA6B3F">
              <w:rPr>
                <w:rFonts w:ascii="Times New Roman" w:hAnsi="Times New Roman" w:cs="Times New Roman"/>
                <w:sz w:val="24"/>
                <w:szCs w:val="24"/>
                <w:lang w:val="sr-Latn-RS"/>
              </w:rPr>
              <w:t>/konzorcijuma</w:t>
            </w:r>
            <w:r w:rsidR="00F97CE1" w:rsidRPr="00DA6B3F">
              <w:rPr>
                <w:rFonts w:ascii="Times New Roman" w:hAnsi="Times New Roman" w:cs="Times New Roman"/>
                <w:sz w:val="24"/>
                <w:szCs w:val="24"/>
              </w:rPr>
              <w:t xml:space="preserve"> i </w:t>
            </w:r>
            <w:r w:rsidR="00F60401" w:rsidRPr="00DA6B3F">
              <w:rPr>
                <w:rFonts w:ascii="Times New Roman" w:hAnsi="Times New Roman" w:cs="Times New Roman"/>
                <w:sz w:val="24"/>
                <w:szCs w:val="24"/>
                <w:lang w:val="sr-Latn-CS"/>
              </w:rPr>
              <w:t xml:space="preserve">sve </w:t>
            </w:r>
            <w:r w:rsidR="00F97CE1" w:rsidRPr="00DA6B3F">
              <w:rPr>
                <w:rFonts w:ascii="Times New Roman" w:hAnsi="Times New Roman" w:cs="Times New Roman"/>
                <w:sz w:val="24"/>
                <w:szCs w:val="24"/>
              </w:rPr>
              <w:t>podizvođače</w:t>
            </w:r>
            <w:r w:rsidR="0055433D" w:rsidRPr="00DA6B3F">
              <w:rPr>
                <w:rFonts w:ascii="Times New Roman" w:hAnsi="Times New Roman" w:cs="Times New Roman"/>
                <w:sz w:val="24"/>
                <w:szCs w:val="24"/>
              </w:rPr>
              <w:t>.</w:t>
            </w:r>
          </w:p>
          <w:p w14:paraId="7A1ADE46" w14:textId="77777777" w:rsidR="00765C47" w:rsidRPr="00DA6B3F" w:rsidRDefault="00F846DE" w:rsidP="00765C47">
            <w:pPr>
              <w:tabs>
                <w:tab w:val="clear" w:pos="720"/>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eastAsia="Times New Roman" w:hAnsi="Times New Roman" w:cs="Times New Roman"/>
                <w:color w:val="auto"/>
                <w:sz w:val="24"/>
                <w:szCs w:val="24"/>
                <w:lang w:eastAsia="en-GB"/>
              </w:rPr>
            </w:pPr>
            <w:r w:rsidRPr="00DA6B3F">
              <w:rPr>
                <w:rFonts w:ascii="Times New Roman" w:hAnsi="Times New Roman" w:cs="Times New Roman"/>
                <w:sz w:val="24"/>
                <w:szCs w:val="24"/>
              </w:rPr>
              <w:t xml:space="preserve">b) </w:t>
            </w:r>
            <w:r w:rsidRPr="00DA6B3F">
              <w:rPr>
                <w:rFonts w:ascii="Times New Roman" w:hAnsi="Times New Roman" w:cs="Times New Roman"/>
                <w:sz w:val="24"/>
                <w:szCs w:val="24"/>
                <w:lang w:val="sr-Latn-RS"/>
              </w:rPr>
              <w:t>D</w:t>
            </w:r>
            <w:r w:rsidR="00220C98" w:rsidRPr="00DA6B3F">
              <w:rPr>
                <w:rFonts w:ascii="Times New Roman" w:hAnsi="Times New Roman" w:cs="Times New Roman"/>
                <w:sz w:val="24"/>
                <w:szCs w:val="24"/>
              </w:rPr>
              <w:t>a nad ponuđačem nije pokrenut postupak steča</w:t>
            </w:r>
            <w:r w:rsidR="00D40491" w:rsidRPr="00DA6B3F">
              <w:rPr>
                <w:rFonts w:ascii="Times New Roman" w:hAnsi="Times New Roman" w:cs="Times New Roman"/>
                <w:sz w:val="24"/>
                <w:szCs w:val="24"/>
              </w:rPr>
              <w:t>ja ili likvidacije, odnosno pre</w:t>
            </w:r>
            <w:r w:rsidR="00D40491" w:rsidRPr="00DA6B3F">
              <w:rPr>
                <w:rFonts w:ascii="Times New Roman" w:hAnsi="Times New Roman" w:cs="Times New Roman"/>
                <w:sz w:val="24"/>
                <w:szCs w:val="24"/>
                <w:lang w:val="sr-Latn-CS"/>
              </w:rPr>
              <w:t>t</w:t>
            </w:r>
            <w:r w:rsidR="00220C98" w:rsidRPr="00DA6B3F">
              <w:rPr>
                <w:rFonts w:ascii="Times New Roman" w:hAnsi="Times New Roman" w:cs="Times New Roman"/>
                <w:sz w:val="24"/>
                <w:szCs w:val="24"/>
              </w:rPr>
              <w:t>hodni stečajni postupak.</w:t>
            </w:r>
            <w:r w:rsidR="00765C47" w:rsidRPr="00DA6B3F">
              <w:rPr>
                <w:rFonts w:ascii="Times New Roman" w:eastAsia="Times New Roman" w:hAnsi="Times New Roman" w:cs="Times New Roman"/>
                <w:color w:val="auto"/>
                <w:sz w:val="24"/>
                <w:szCs w:val="24"/>
                <w:lang w:eastAsia="en-GB"/>
              </w:rPr>
              <w:t xml:space="preserve"> </w:t>
            </w:r>
          </w:p>
          <w:p w14:paraId="73CE0CED" w14:textId="77777777" w:rsidR="00220C98" w:rsidRPr="00DA6B3F" w:rsidRDefault="00220C98" w:rsidP="00D40491">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jc w:val="both"/>
              <w:outlineLvl w:val="3"/>
            </w:pPr>
            <w:r w:rsidRPr="00DA6B3F">
              <w:t>Ova odredba se odnosi na sve ponuđače iz grupe ponuđača</w:t>
            </w:r>
            <w:r w:rsidR="00BE3BCE" w:rsidRPr="00DA6B3F">
              <w:rPr>
                <w:lang w:val="sr-Latn-RS"/>
              </w:rPr>
              <w:t>/konzorcijuma</w:t>
            </w:r>
            <w:r w:rsidR="00F60401" w:rsidRPr="00DA6B3F">
              <w:rPr>
                <w:lang w:val="sr-Latn-CS"/>
              </w:rPr>
              <w:t xml:space="preserve"> i sve podizvođače</w:t>
            </w:r>
            <w:r w:rsidRPr="00DA6B3F">
              <w:t>.</w:t>
            </w:r>
          </w:p>
          <w:p w14:paraId="42D2D6B6" w14:textId="77777777" w:rsidR="00436FEA" w:rsidRPr="00DA6B3F" w:rsidRDefault="00A25855" w:rsidP="00A25855">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jc w:val="both"/>
              <w:outlineLvl w:val="3"/>
              <w:rPr>
                <w:lang w:val="sr-Latn-CS"/>
              </w:rPr>
            </w:pPr>
            <w:r w:rsidRPr="00DA6B3F">
              <w:rPr>
                <w:lang w:val="sr-Latn-CS"/>
              </w:rPr>
              <w:t xml:space="preserve">c) </w:t>
            </w:r>
            <w:r w:rsidR="00220C98" w:rsidRPr="00DA6B3F">
              <w:t xml:space="preserve">Poslovni prihod: Ponuđač mora da poseduje prosečan poslovni prihod, </w:t>
            </w:r>
            <w:r w:rsidR="00F60401" w:rsidRPr="00DA6B3F">
              <w:t xml:space="preserve">tokom prethodne </w:t>
            </w:r>
            <w:r w:rsidR="00F60401" w:rsidRPr="00DA6B3F">
              <w:lastRenderedPageBreak/>
              <w:t>tri godine (201</w:t>
            </w:r>
            <w:r w:rsidR="00A443AD" w:rsidRPr="00DA6B3F">
              <w:rPr>
                <w:lang w:val="sr-Latn-CS"/>
              </w:rPr>
              <w:t>3</w:t>
            </w:r>
            <w:r w:rsidR="00F60401" w:rsidRPr="00DA6B3F">
              <w:t>, 201</w:t>
            </w:r>
            <w:r w:rsidR="00A443AD" w:rsidRPr="00DA6B3F">
              <w:rPr>
                <w:lang w:val="sr-Latn-CS"/>
              </w:rPr>
              <w:t>4</w:t>
            </w:r>
            <w:r w:rsidR="00F60401" w:rsidRPr="00DA6B3F">
              <w:t xml:space="preserve"> i 201</w:t>
            </w:r>
            <w:r w:rsidR="00A443AD" w:rsidRPr="00DA6B3F">
              <w:rPr>
                <w:lang w:val="sr-Latn-CS"/>
              </w:rPr>
              <w:t>5</w:t>
            </w:r>
            <w:r w:rsidR="00220C98" w:rsidRPr="00DA6B3F">
              <w:t>), koji nije manji od</w:t>
            </w:r>
            <w:r w:rsidR="00436FEA" w:rsidRPr="00DA6B3F">
              <w:rPr>
                <w:lang w:val="sr-Latn-CS"/>
              </w:rPr>
              <w:t>:</w:t>
            </w:r>
          </w:p>
          <w:p w14:paraId="2D83CC46" w14:textId="77777777" w:rsidR="00F60401" w:rsidRPr="00DA6B3F" w:rsidRDefault="006768BA" w:rsidP="00F846DE">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jc w:val="both"/>
              <w:outlineLvl w:val="3"/>
              <w:rPr>
                <w:lang w:val="sr-Latn-CS"/>
              </w:rPr>
            </w:pPr>
            <w:r w:rsidRPr="00DA6B3F">
              <w:rPr>
                <w:lang w:val="sr-Latn-CS"/>
              </w:rPr>
              <w:t>- 4.5</w:t>
            </w:r>
            <w:r w:rsidR="00F846DE" w:rsidRPr="00DA6B3F">
              <w:rPr>
                <w:lang w:val="sr-Latn-CS"/>
              </w:rPr>
              <w:t>00.000,00 EUR</w:t>
            </w:r>
            <w:r w:rsidR="00BE3BCE" w:rsidRPr="00DA6B3F">
              <w:rPr>
                <w:lang w:val="sr-Latn-CS"/>
              </w:rPr>
              <w:t>.</w:t>
            </w:r>
          </w:p>
          <w:p w14:paraId="34407033" w14:textId="77777777" w:rsidR="00C74DC7" w:rsidRPr="00DA6B3F" w:rsidRDefault="00C74DC7" w:rsidP="00A25855">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jc w:val="both"/>
              <w:outlineLvl w:val="3"/>
              <w:rPr>
                <w:lang w:val="sr-Latn-CS"/>
              </w:rPr>
            </w:pPr>
            <w:r w:rsidRPr="00DA6B3F">
              <w:rPr>
                <w:lang w:val="sr-Latn-CS"/>
              </w:rPr>
              <w:t>* u evrima po srednjem kursu na kraju izveštajnog perioda</w:t>
            </w:r>
          </w:p>
          <w:p w14:paraId="271D150B" w14:textId="77777777" w:rsidR="00BE3BCE" w:rsidRPr="00DA6B3F" w:rsidRDefault="00220C98" w:rsidP="00D40491">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pPr>
            <w:r w:rsidRPr="00DA6B3F">
              <w:t>Grupa ponuđača: Jedan od članova grupe ponuđača</w:t>
            </w:r>
            <w:r w:rsidR="00BE3BCE" w:rsidRPr="00DA6B3F">
              <w:rPr>
                <w:lang w:val="sr-Latn-RS"/>
              </w:rPr>
              <w:t>/konzorcijuma</w:t>
            </w:r>
            <w:r w:rsidRPr="00DA6B3F">
              <w:t xml:space="preserve"> u obavezi je da ispuni ne manje od 50% navedenog uslova. </w:t>
            </w:r>
          </w:p>
          <w:p w14:paraId="21BD0989" w14:textId="77777777" w:rsidR="00220C98" w:rsidRPr="00DA6B3F" w:rsidRDefault="00706C8B" w:rsidP="00D40491">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rPr>
                <w:lang w:val="sr-Latn-RS"/>
              </w:rPr>
            </w:pPr>
            <w:r w:rsidRPr="00DA6B3F">
              <w:rPr>
                <w:b/>
                <w:lang w:val="sr-Latn-RS"/>
              </w:rPr>
              <w:t>2</w:t>
            </w:r>
            <w:r w:rsidR="00220C98" w:rsidRPr="00DA6B3F">
              <w:rPr>
                <w:b/>
              </w:rPr>
              <w:t xml:space="preserve">. Tehnički </w:t>
            </w:r>
            <w:r w:rsidRPr="00DA6B3F">
              <w:rPr>
                <w:b/>
                <w:szCs w:val="24"/>
              </w:rPr>
              <w:t>kapacitet ponuđača</w:t>
            </w:r>
            <w:r w:rsidRPr="00DA6B3F">
              <w:rPr>
                <w:b/>
                <w:szCs w:val="24"/>
                <w:lang w:val="sr-Latn-RS"/>
              </w:rPr>
              <w:t>.</w:t>
            </w:r>
            <w:r w:rsidRPr="00DA6B3F">
              <w:rPr>
                <w:lang w:val="sr-Latn-RS"/>
              </w:rPr>
              <w:t xml:space="preserve"> Ponuđač mora da dokaže ispunjenost sledećeg uslova:</w:t>
            </w:r>
          </w:p>
          <w:p w14:paraId="6C238BA2" w14:textId="77777777" w:rsidR="001F4E83" w:rsidRPr="00DA6B3F" w:rsidRDefault="00220C98" w:rsidP="001F4E83">
            <w:pPr>
              <w:tabs>
                <w:tab w:val="clear" w:pos="720"/>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hAnsi="Times New Roman" w:cs="Times New Roman"/>
                <w:sz w:val="24"/>
                <w:szCs w:val="24"/>
                <w:lang w:val="sr-Latn-CS"/>
              </w:rPr>
            </w:pPr>
            <w:r w:rsidRPr="00DA6B3F">
              <w:rPr>
                <w:rFonts w:ascii="Times New Roman" w:hAnsi="Times New Roman" w:cs="Times New Roman"/>
                <w:b/>
                <w:sz w:val="24"/>
                <w:szCs w:val="24"/>
              </w:rPr>
              <w:t>a) Skladišni kapacitet</w:t>
            </w:r>
            <w:r w:rsidRPr="00DA6B3F">
              <w:rPr>
                <w:rFonts w:ascii="Times New Roman" w:hAnsi="Times New Roman" w:cs="Times New Roman"/>
                <w:sz w:val="24"/>
                <w:szCs w:val="24"/>
              </w:rPr>
              <w:t>: Ponuđač poseduje ili iznajmljuje skladište</w:t>
            </w:r>
            <w:r w:rsidR="00F846DE" w:rsidRPr="00DA6B3F">
              <w:rPr>
                <w:rFonts w:ascii="Times New Roman" w:hAnsi="Times New Roman" w:cs="Times New Roman"/>
                <w:sz w:val="24"/>
                <w:szCs w:val="24"/>
                <w:lang w:val="sr-Latn-RS"/>
              </w:rPr>
              <w:t xml:space="preserve"> minimalne veličine 750 m2</w:t>
            </w:r>
            <w:r w:rsidR="00014289" w:rsidRPr="00DA6B3F">
              <w:rPr>
                <w:rFonts w:ascii="Times New Roman" w:hAnsi="Times New Roman" w:cs="Times New Roman"/>
                <w:sz w:val="24"/>
                <w:szCs w:val="24"/>
                <w:lang w:val="sr-Latn-CS"/>
              </w:rPr>
              <w:t xml:space="preserve"> </w:t>
            </w:r>
            <w:r w:rsidRPr="00DA6B3F">
              <w:rPr>
                <w:rFonts w:ascii="Times New Roman" w:hAnsi="Times New Roman" w:cs="Times New Roman"/>
                <w:sz w:val="24"/>
                <w:szCs w:val="24"/>
              </w:rPr>
              <w:t>na teritoriji Republike Srbije;</w:t>
            </w:r>
            <w:r w:rsidR="001D635D" w:rsidRPr="00DA6B3F">
              <w:rPr>
                <w:rFonts w:ascii="Times New Roman" w:hAnsi="Times New Roman" w:cs="Times New Roman"/>
                <w:sz w:val="24"/>
                <w:szCs w:val="24"/>
                <w:lang w:val="sr-Latn-CS"/>
              </w:rPr>
              <w:t xml:space="preserve"> </w:t>
            </w:r>
          </w:p>
          <w:p w14:paraId="2AB0AEE7" w14:textId="5C0DA015" w:rsidR="00BE3BCE" w:rsidRPr="00DA6B3F" w:rsidRDefault="00BE3BCE" w:rsidP="00BE3BCE">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rPr>
                <w:szCs w:val="24"/>
                <w:lang w:val="sr-Latn-RS"/>
              </w:rPr>
            </w:pPr>
            <w:r w:rsidRPr="00DA6B3F">
              <w:rPr>
                <w:szCs w:val="24"/>
              </w:rPr>
              <w:t xml:space="preserve">Grupa ponuđača: </w:t>
            </w:r>
            <w:r w:rsidRPr="00DA6B3F">
              <w:rPr>
                <w:szCs w:val="24"/>
                <w:lang w:val="sr-Latn-RS"/>
              </w:rPr>
              <w:t>U slučaju podnošenja ponude od strane grupe ponuđača/konzorcijuma, n</w:t>
            </w:r>
            <w:r w:rsidRPr="00DA6B3F">
              <w:rPr>
                <w:szCs w:val="24"/>
              </w:rPr>
              <w:t>avedeni uslov</w:t>
            </w:r>
            <w:r w:rsidRPr="00DA6B3F">
              <w:rPr>
                <w:szCs w:val="24"/>
                <w:lang w:val="sr-Latn-RS"/>
              </w:rPr>
              <w:t xml:space="preserve"> </w:t>
            </w:r>
            <w:r w:rsidRPr="00DA6B3F">
              <w:rPr>
                <w:szCs w:val="24"/>
              </w:rPr>
              <w:t>ispunjava</w:t>
            </w:r>
            <w:r w:rsidRPr="00DA6B3F">
              <w:rPr>
                <w:szCs w:val="24"/>
                <w:lang w:val="sr-Latn-RS"/>
              </w:rPr>
              <w:t xml:space="preserve"> grupa</w:t>
            </w:r>
            <w:r w:rsidR="008A5B70" w:rsidRPr="00DA6B3F">
              <w:rPr>
                <w:szCs w:val="24"/>
                <w:lang w:val="sr-Latn-RS"/>
              </w:rPr>
              <w:t xml:space="preserve"> ponuđača</w:t>
            </w:r>
            <w:r w:rsidR="008A6681" w:rsidRPr="00DA6B3F">
              <w:rPr>
                <w:szCs w:val="24"/>
                <w:lang w:val="sr-Latn-RS"/>
              </w:rPr>
              <w:t xml:space="preserve">/konzorcijum </w:t>
            </w:r>
            <w:r w:rsidR="006C4D30" w:rsidRPr="00DA6B3F">
              <w:rPr>
                <w:szCs w:val="24"/>
                <w:lang w:val="sr-Latn-RS"/>
              </w:rPr>
              <w:t>zajedno</w:t>
            </w:r>
            <w:r w:rsidRPr="00DA6B3F">
              <w:rPr>
                <w:szCs w:val="24"/>
              </w:rPr>
              <w:t>.</w:t>
            </w:r>
          </w:p>
          <w:p w14:paraId="5732A0DE" w14:textId="77777777" w:rsidR="00F846DE" w:rsidRPr="00DA6B3F" w:rsidRDefault="00220C98" w:rsidP="00D40491">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rPr>
                <w:lang w:val="sr-Latn-RS"/>
              </w:rPr>
            </w:pPr>
            <w:r w:rsidRPr="00DA6B3F">
              <w:rPr>
                <w:b/>
              </w:rPr>
              <w:t>b) Transportni kapacitet</w:t>
            </w:r>
            <w:r w:rsidRPr="00DA6B3F">
              <w:t xml:space="preserve">: </w:t>
            </w:r>
            <w:r w:rsidR="00F846DE" w:rsidRPr="00DA6B3F">
              <w:rPr>
                <w:lang w:val="sr-Latn-RS"/>
              </w:rPr>
              <w:t>Ponuđač raspolaže sa najmanje:</w:t>
            </w: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245"/>
              <w:gridCol w:w="1701"/>
              <w:gridCol w:w="1262"/>
            </w:tblGrid>
            <w:tr w:rsidR="0099494D" w:rsidRPr="00DA6B3F" w14:paraId="060855B4" w14:textId="77777777" w:rsidTr="00881578">
              <w:trPr>
                <w:trHeight w:val="284"/>
              </w:trPr>
              <w:tc>
                <w:tcPr>
                  <w:tcW w:w="709" w:type="dxa"/>
                  <w:shd w:val="clear" w:color="auto" w:fill="F2F2F2"/>
                  <w:vAlign w:val="center"/>
                </w:tcPr>
                <w:p w14:paraId="4C525364" w14:textId="77777777" w:rsidR="0099494D" w:rsidRPr="00DA6B3F" w:rsidRDefault="0099494D" w:rsidP="00881578">
                  <w:pPr>
                    <w:rPr>
                      <w:rFonts w:eastAsia="Calibri"/>
                      <w:lang w:val="sr-Latn-RS"/>
                    </w:rPr>
                  </w:pPr>
                  <w:r w:rsidRPr="00DA6B3F">
                    <w:rPr>
                      <w:rFonts w:eastAsia="Calibri"/>
                      <w:lang w:val="sr-Latn-RS"/>
                    </w:rPr>
                    <w:t>R.b.</w:t>
                  </w:r>
                </w:p>
              </w:tc>
              <w:tc>
                <w:tcPr>
                  <w:tcW w:w="5245" w:type="dxa"/>
                  <w:shd w:val="clear" w:color="auto" w:fill="F2F2F2"/>
                  <w:vAlign w:val="center"/>
                </w:tcPr>
                <w:p w14:paraId="0D560F01" w14:textId="77777777" w:rsidR="0099494D" w:rsidRPr="00DA6B3F" w:rsidRDefault="0099494D" w:rsidP="00881578">
                  <w:pPr>
                    <w:jc w:val="center"/>
                    <w:rPr>
                      <w:rFonts w:eastAsia="Calibri"/>
                      <w:lang w:val="sr-Latn-RS"/>
                    </w:rPr>
                  </w:pPr>
                  <w:r w:rsidRPr="00DA6B3F">
                    <w:rPr>
                      <w:rFonts w:eastAsia="Calibri"/>
                      <w:lang w:val="sr-Latn-RS"/>
                    </w:rPr>
                    <w:t>Naziv mehanizacije i opreme</w:t>
                  </w:r>
                </w:p>
              </w:tc>
              <w:tc>
                <w:tcPr>
                  <w:tcW w:w="1701" w:type="dxa"/>
                  <w:shd w:val="clear" w:color="auto" w:fill="F2F2F2"/>
                  <w:vAlign w:val="center"/>
                </w:tcPr>
                <w:p w14:paraId="398A4D84" w14:textId="77777777" w:rsidR="0099494D" w:rsidRPr="00DA6B3F" w:rsidRDefault="0099494D" w:rsidP="00881578">
                  <w:pPr>
                    <w:jc w:val="center"/>
                    <w:rPr>
                      <w:rFonts w:eastAsia="Calibri"/>
                      <w:lang w:val="sr-Latn-RS"/>
                    </w:rPr>
                  </w:pPr>
                  <w:r w:rsidRPr="00DA6B3F">
                    <w:rPr>
                      <w:rFonts w:eastAsia="Calibri"/>
                      <w:lang w:val="sr-Latn-RS"/>
                    </w:rPr>
                    <w:t>Broj komada</w:t>
                  </w:r>
                </w:p>
              </w:tc>
              <w:tc>
                <w:tcPr>
                  <w:tcW w:w="1262" w:type="dxa"/>
                  <w:shd w:val="clear" w:color="auto" w:fill="F2F2F2"/>
                </w:tcPr>
                <w:p w14:paraId="09CC849E" w14:textId="77777777" w:rsidR="0099494D" w:rsidRPr="00DA6B3F" w:rsidRDefault="0099494D" w:rsidP="00881578">
                  <w:pPr>
                    <w:jc w:val="center"/>
                    <w:rPr>
                      <w:rFonts w:eastAsia="Calibri"/>
                      <w:lang w:val="sr-Latn-RS"/>
                    </w:rPr>
                  </w:pPr>
                  <w:r w:rsidRPr="00DA6B3F">
                    <w:rPr>
                      <w:rFonts w:eastAsia="Calibri"/>
                      <w:lang w:val="sr-Latn-RS"/>
                    </w:rPr>
                    <w:t>U vlasnuštvu</w:t>
                  </w:r>
                </w:p>
              </w:tc>
            </w:tr>
            <w:tr w:rsidR="0099494D" w:rsidRPr="00DA6B3F" w14:paraId="3E0BE85A" w14:textId="77777777" w:rsidTr="00881578">
              <w:trPr>
                <w:trHeight w:val="284"/>
              </w:trPr>
              <w:tc>
                <w:tcPr>
                  <w:tcW w:w="709" w:type="dxa"/>
                  <w:vAlign w:val="center"/>
                </w:tcPr>
                <w:p w14:paraId="08CC85A1" w14:textId="77777777" w:rsidR="0099494D" w:rsidRPr="00DA6B3F" w:rsidRDefault="0099494D" w:rsidP="00881578">
                  <w:pPr>
                    <w:jc w:val="center"/>
                    <w:rPr>
                      <w:rFonts w:eastAsia="Calibri"/>
                      <w:lang w:val="sr-Latn-RS"/>
                    </w:rPr>
                  </w:pPr>
                  <w:r w:rsidRPr="00DA6B3F">
                    <w:rPr>
                      <w:rFonts w:eastAsia="Calibri"/>
                      <w:lang w:val="sr-Latn-RS"/>
                    </w:rPr>
                    <w:t>1.</w:t>
                  </w:r>
                </w:p>
              </w:tc>
              <w:tc>
                <w:tcPr>
                  <w:tcW w:w="5245" w:type="dxa"/>
                  <w:vAlign w:val="center"/>
                </w:tcPr>
                <w:p w14:paraId="292F1D8C" w14:textId="77777777" w:rsidR="0099494D" w:rsidRPr="00DA6B3F" w:rsidRDefault="0099494D" w:rsidP="00881578">
                  <w:pPr>
                    <w:rPr>
                      <w:rFonts w:eastAsia="Calibri"/>
                      <w:lang w:val="sr-Latn-RS"/>
                    </w:rPr>
                  </w:pPr>
                  <w:r w:rsidRPr="00DA6B3F">
                    <w:rPr>
                      <w:rFonts w:eastAsia="Calibri"/>
                      <w:lang w:val="sr-Latn-RS"/>
                    </w:rPr>
                    <w:t xml:space="preserve">Kamion sa rukom za utovar, minimalne nosivosti 2t </w:t>
                  </w:r>
                </w:p>
              </w:tc>
              <w:tc>
                <w:tcPr>
                  <w:tcW w:w="1701" w:type="dxa"/>
                  <w:vAlign w:val="center"/>
                </w:tcPr>
                <w:p w14:paraId="0F8D5635" w14:textId="77777777" w:rsidR="0099494D" w:rsidRPr="00DA6B3F" w:rsidRDefault="0099494D" w:rsidP="00881578">
                  <w:pPr>
                    <w:jc w:val="center"/>
                    <w:rPr>
                      <w:rFonts w:eastAsia="Calibri"/>
                      <w:lang w:val="sr-Latn-RS"/>
                    </w:rPr>
                  </w:pPr>
                  <w:r w:rsidRPr="00DA6B3F">
                    <w:rPr>
                      <w:rFonts w:eastAsia="Calibri"/>
                      <w:lang w:val="sr-Latn-RS"/>
                    </w:rPr>
                    <w:t>3</w:t>
                  </w:r>
                </w:p>
              </w:tc>
              <w:tc>
                <w:tcPr>
                  <w:tcW w:w="1262" w:type="dxa"/>
                </w:tcPr>
                <w:p w14:paraId="3C30FAA2" w14:textId="77777777" w:rsidR="0099494D" w:rsidRPr="00DA6B3F" w:rsidRDefault="0099494D" w:rsidP="00881578">
                  <w:pPr>
                    <w:jc w:val="center"/>
                    <w:rPr>
                      <w:rFonts w:eastAsia="Calibri"/>
                      <w:lang w:val="sr-Latn-RS"/>
                    </w:rPr>
                  </w:pPr>
                  <w:r w:rsidRPr="00DA6B3F">
                    <w:rPr>
                      <w:rFonts w:eastAsia="Calibri"/>
                      <w:lang w:val="sr-Latn-RS"/>
                    </w:rPr>
                    <w:t>2</w:t>
                  </w:r>
                </w:p>
              </w:tc>
            </w:tr>
            <w:tr w:rsidR="0099494D" w:rsidRPr="00DA6B3F" w14:paraId="72D94D98" w14:textId="77777777" w:rsidTr="00881578">
              <w:trPr>
                <w:trHeight w:val="284"/>
              </w:trPr>
              <w:tc>
                <w:tcPr>
                  <w:tcW w:w="709" w:type="dxa"/>
                  <w:vAlign w:val="center"/>
                </w:tcPr>
                <w:p w14:paraId="69DD93D1" w14:textId="77777777" w:rsidR="0099494D" w:rsidRPr="00DA6B3F" w:rsidRDefault="0099494D" w:rsidP="00881578">
                  <w:pPr>
                    <w:jc w:val="center"/>
                    <w:rPr>
                      <w:rFonts w:eastAsia="Calibri"/>
                      <w:lang w:val="sr-Latn-RS"/>
                    </w:rPr>
                  </w:pPr>
                  <w:r w:rsidRPr="00DA6B3F">
                    <w:rPr>
                      <w:rFonts w:eastAsia="Calibri"/>
                      <w:lang w:val="sr-Latn-RS"/>
                    </w:rPr>
                    <w:t>2.</w:t>
                  </w:r>
                </w:p>
              </w:tc>
              <w:tc>
                <w:tcPr>
                  <w:tcW w:w="5245" w:type="dxa"/>
                  <w:vAlign w:val="center"/>
                </w:tcPr>
                <w:p w14:paraId="747CB1EF" w14:textId="77777777" w:rsidR="0099494D" w:rsidRPr="00DA6B3F" w:rsidRDefault="0099494D" w:rsidP="00881578">
                  <w:pPr>
                    <w:rPr>
                      <w:rFonts w:eastAsia="Calibri"/>
                      <w:lang w:val="sr-Latn-RS"/>
                    </w:rPr>
                  </w:pPr>
                  <w:r w:rsidRPr="00DA6B3F">
                    <w:rPr>
                      <w:rFonts w:eastAsia="Calibri"/>
                      <w:lang w:val="sr-Latn-RS"/>
                    </w:rPr>
                    <w:t>Kamion minimalne nosivosti 2 t</w:t>
                  </w:r>
                </w:p>
              </w:tc>
              <w:tc>
                <w:tcPr>
                  <w:tcW w:w="1701" w:type="dxa"/>
                  <w:vAlign w:val="center"/>
                </w:tcPr>
                <w:p w14:paraId="6EC30513" w14:textId="77777777" w:rsidR="0099494D" w:rsidRPr="00DA6B3F" w:rsidRDefault="0099494D" w:rsidP="00881578">
                  <w:pPr>
                    <w:jc w:val="center"/>
                    <w:rPr>
                      <w:rFonts w:eastAsia="Calibri"/>
                      <w:lang w:val="sr-Latn-RS"/>
                    </w:rPr>
                  </w:pPr>
                  <w:r w:rsidRPr="00DA6B3F">
                    <w:rPr>
                      <w:rFonts w:eastAsia="Calibri"/>
                      <w:lang w:val="sr-Latn-RS"/>
                    </w:rPr>
                    <w:t>3</w:t>
                  </w:r>
                </w:p>
              </w:tc>
              <w:tc>
                <w:tcPr>
                  <w:tcW w:w="1262" w:type="dxa"/>
                </w:tcPr>
                <w:p w14:paraId="4AA68F6E" w14:textId="77777777" w:rsidR="0099494D" w:rsidRPr="00DA6B3F" w:rsidRDefault="0099494D" w:rsidP="00881578">
                  <w:pPr>
                    <w:jc w:val="center"/>
                    <w:rPr>
                      <w:rFonts w:eastAsia="Calibri"/>
                      <w:lang w:val="sr-Latn-RS"/>
                    </w:rPr>
                  </w:pPr>
                  <w:r w:rsidRPr="00DA6B3F">
                    <w:rPr>
                      <w:rFonts w:eastAsia="Calibri"/>
                      <w:lang w:val="sr-Latn-RS"/>
                    </w:rPr>
                    <w:t>2</w:t>
                  </w:r>
                </w:p>
              </w:tc>
            </w:tr>
            <w:tr w:rsidR="0099494D" w:rsidRPr="00DA6B3F" w14:paraId="6A7A4135" w14:textId="77777777" w:rsidTr="00881578">
              <w:trPr>
                <w:trHeight w:val="284"/>
              </w:trPr>
              <w:tc>
                <w:tcPr>
                  <w:tcW w:w="709" w:type="dxa"/>
                  <w:vAlign w:val="center"/>
                </w:tcPr>
                <w:p w14:paraId="1582A9DF" w14:textId="77777777" w:rsidR="0099494D" w:rsidRPr="00DA6B3F" w:rsidRDefault="0099494D" w:rsidP="00881578">
                  <w:pPr>
                    <w:jc w:val="center"/>
                    <w:rPr>
                      <w:rFonts w:eastAsia="Calibri"/>
                      <w:lang w:val="sr-Latn-RS"/>
                    </w:rPr>
                  </w:pPr>
                  <w:r w:rsidRPr="00DA6B3F">
                    <w:rPr>
                      <w:rFonts w:eastAsia="Calibri"/>
                      <w:lang w:val="sr-Latn-RS"/>
                    </w:rPr>
                    <w:t>3.</w:t>
                  </w:r>
                </w:p>
              </w:tc>
              <w:tc>
                <w:tcPr>
                  <w:tcW w:w="5245" w:type="dxa"/>
                  <w:vAlign w:val="center"/>
                </w:tcPr>
                <w:p w14:paraId="50BB87FC" w14:textId="77777777" w:rsidR="0099494D" w:rsidRPr="00DA6B3F" w:rsidRDefault="0099494D" w:rsidP="00881578">
                  <w:pPr>
                    <w:rPr>
                      <w:rFonts w:eastAsia="Calibri"/>
                      <w:lang w:val="sr-Latn-RS"/>
                    </w:rPr>
                  </w:pPr>
                  <w:r w:rsidRPr="00DA6B3F">
                    <w:rPr>
                      <w:rFonts w:eastAsia="Calibri"/>
                      <w:lang w:val="sr-Latn-RS"/>
                    </w:rPr>
                    <w:t>Viljuškar</w:t>
                  </w:r>
                </w:p>
              </w:tc>
              <w:tc>
                <w:tcPr>
                  <w:tcW w:w="1701" w:type="dxa"/>
                  <w:vAlign w:val="center"/>
                </w:tcPr>
                <w:p w14:paraId="455C9C53" w14:textId="77777777" w:rsidR="0099494D" w:rsidRPr="00DA6B3F" w:rsidRDefault="0099494D" w:rsidP="00881578">
                  <w:pPr>
                    <w:jc w:val="center"/>
                    <w:rPr>
                      <w:rFonts w:eastAsia="Calibri"/>
                      <w:lang w:val="sr-Latn-RS"/>
                    </w:rPr>
                  </w:pPr>
                  <w:r w:rsidRPr="00DA6B3F">
                    <w:rPr>
                      <w:rFonts w:eastAsia="Calibri"/>
                      <w:lang w:val="sr-Latn-RS"/>
                    </w:rPr>
                    <w:t>3</w:t>
                  </w:r>
                </w:p>
              </w:tc>
              <w:tc>
                <w:tcPr>
                  <w:tcW w:w="1262" w:type="dxa"/>
                </w:tcPr>
                <w:p w14:paraId="0CE5E476" w14:textId="77777777" w:rsidR="0099494D" w:rsidRPr="00DA6B3F" w:rsidRDefault="0099494D" w:rsidP="00881578">
                  <w:pPr>
                    <w:jc w:val="center"/>
                    <w:rPr>
                      <w:rFonts w:eastAsia="Calibri"/>
                      <w:lang w:val="sr-Latn-RS"/>
                    </w:rPr>
                  </w:pPr>
                  <w:r w:rsidRPr="00DA6B3F">
                    <w:rPr>
                      <w:rFonts w:eastAsia="Calibri"/>
                      <w:lang w:val="sr-Latn-RS"/>
                    </w:rPr>
                    <w:t>2</w:t>
                  </w:r>
                </w:p>
              </w:tc>
            </w:tr>
          </w:tbl>
          <w:p w14:paraId="6F246CE3" w14:textId="77777777" w:rsidR="008A5B70" w:rsidRPr="00DA6B3F" w:rsidRDefault="008A5B70" w:rsidP="008A5B70">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rPr>
                <w:szCs w:val="24"/>
                <w:lang w:val="sr-Latn-RS"/>
              </w:rPr>
            </w:pPr>
            <w:r w:rsidRPr="00DA6B3F">
              <w:rPr>
                <w:szCs w:val="24"/>
              </w:rPr>
              <w:t xml:space="preserve">Grupa ponuđača: </w:t>
            </w:r>
            <w:r w:rsidRPr="00DA6B3F">
              <w:rPr>
                <w:szCs w:val="24"/>
                <w:lang w:val="sr-Latn-RS"/>
              </w:rPr>
              <w:t>U slučaju podnošenja ponude od strane grupe ponuđača/konzorcijuma, n</w:t>
            </w:r>
            <w:r w:rsidRPr="00DA6B3F">
              <w:rPr>
                <w:szCs w:val="24"/>
              </w:rPr>
              <w:t>avedeni uslov potrebno je da ispunjava</w:t>
            </w:r>
            <w:r w:rsidRPr="00DA6B3F">
              <w:rPr>
                <w:szCs w:val="24"/>
                <w:lang w:val="sr-Latn-RS"/>
              </w:rPr>
              <w:t xml:space="preserve"> vodeći član </w:t>
            </w:r>
            <w:r w:rsidRPr="00DA6B3F">
              <w:rPr>
                <w:szCs w:val="24"/>
              </w:rPr>
              <w:t>grup</w:t>
            </w:r>
            <w:r w:rsidRPr="00DA6B3F">
              <w:rPr>
                <w:szCs w:val="24"/>
                <w:lang w:val="sr-Latn-RS"/>
              </w:rPr>
              <w:t>e ponuđača/konzorcijuma</w:t>
            </w:r>
            <w:r w:rsidRPr="00DA6B3F">
              <w:rPr>
                <w:szCs w:val="24"/>
              </w:rPr>
              <w:t>.</w:t>
            </w:r>
          </w:p>
          <w:p w14:paraId="63722A1D" w14:textId="77777777" w:rsidR="00706C8B" w:rsidRPr="00DA6B3F" w:rsidRDefault="00706C8B" w:rsidP="00706C8B">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rPr>
                <w:lang w:val="sr-Latn-RS"/>
              </w:rPr>
            </w:pPr>
            <w:r w:rsidRPr="00DA6B3F">
              <w:rPr>
                <w:b/>
                <w:lang w:val="sr-Latn-RS"/>
              </w:rPr>
              <w:t xml:space="preserve">3. Kadrovski kapacitet. </w:t>
            </w:r>
            <w:r w:rsidRPr="00DA6B3F">
              <w:rPr>
                <w:lang w:val="sr-Latn-RS"/>
              </w:rPr>
              <w:t>Ponuđač mora da dokaže ispunjenost sledećeg uslova:</w:t>
            </w:r>
          </w:p>
          <w:p w14:paraId="2DC678DF" w14:textId="77777777" w:rsidR="00706C8B" w:rsidRPr="00DA6B3F" w:rsidRDefault="00D90339" w:rsidP="00706C8B">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outlineLvl w:val="3"/>
              <w:rPr>
                <w:lang w:val="sr-Latn-RS"/>
              </w:rPr>
            </w:pPr>
            <w:r w:rsidRPr="00DA6B3F">
              <w:rPr>
                <w:b/>
                <w:lang w:val="sr-Latn-RS"/>
              </w:rPr>
              <w:t xml:space="preserve">a) </w:t>
            </w:r>
            <w:r w:rsidR="00706C8B" w:rsidRPr="00DA6B3F">
              <w:rPr>
                <w:b/>
                <w:lang w:val="sr-Latn-RS"/>
              </w:rPr>
              <w:t>Ukupan broj radnika.</w:t>
            </w:r>
            <w:r w:rsidR="00706C8B" w:rsidRPr="00DA6B3F">
              <w:rPr>
                <w:lang w:val="sr-Latn-RS"/>
              </w:rPr>
              <w:t xml:space="preserve">  Da ponuđač u mesecu koji prethodi datumu otvaranja ponuda ima u radnom odnosu * najmanje </w:t>
            </w:r>
            <w:r w:rsidR="00724B7D" w:rsidRPr="00DA6B3F">
              <w:rPr>
                <w:lang w:val="sr-Latn-RS"/>
              </w:rPr>
              <w:t>3</w:t>
            </w:r>
            <w:r w:rsidR="00706C8B" w:rsidRPr="00DA6B3F">
              <w:rPr>
                <w:lang w:val="sr-Latn-RS"/>
              </w:rPr>
              <w:t>0 lica.</w:t>
            </w:r>
          </w:p>
          <w:p w14:paraId="3217D0CA" w14:textId="77777777" w:rsidR="00706C8B" w:rsidRPr="00DA6B3F" w:rsidRDefault="00706C8B" w:rsidP="00706C8B">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outlineLvl w:val="3"/>
              <w:rPr>
                <w:b/>
                <w:lang w:val="sr-Latn-RS"/>
              </w:rPr>
            </w:pPr>
            <w:r w:rsidRPr="00DA6B3F">
              <w:rPr>
                <w:lang w:val="sr-Latn-RS"/>
              </w:rPr>
              <w:t>Grupa ponuđača: U slučaju podnošenja ponude od strane grupe ponuđača/konzorcijuma, vodeći član grupe ponuđača/konzorcijuma mora da ispuni minimum 50% ovog kvalifikacionog kriterijuma.</w:t>
            </w:r>
          </w:p>
          <w:p w14:paraId="56B19DB0" w14:textId="77777777" w:rsidR="00706C8B" w:rsidRPr="00DA6B3F" w:rsidRDefault="00706C8B" w:rsidP="00706C8B">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outlineLvl w:val="3"/>
              <w:rPr>
                <w:lang w:val="sr-Latn-RS"/>
              </w:rPr>
            </w:pPr>
            <w:r w:rsidRPr="00DA6B3F">
              <w:rPr>
                <w:lang w:val="sr-Latn-RS"/>
              </w:rPr>
              <w:t>* Radni odnos u skladu sa odredbama Zakona o radu.</w:t>
            </w:r>
          </w:p>
          <w:p w14:paraId="76FB4DA3" w14:textId="77777777" w:rsidR="008A5B70" w:rsidRPr="00DA6B3F" w:rsidRDefault="008A5B70" w:rsidP="00D40491">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rPr>
                <w:b/>
                <w:szCs w:val="24"/>
                <w:lang w:val="sr-Latn-RS"/>
              </w:rPr>
            </w:pPr>
          </w:p>
          <w:p w14:paraId="21DE6B37" w14:textId="77777777" w:rsidR="00706C8B" w:rsidRPr="00DA6B3F" w:rsidRDefault="005957B0" w:rsidP="00706C8B">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rPr>
                <w:lang w:val="sr-Latn-RS"/>
              </w:rPr>
            </w:pPr>
            <w:r w:rsidRPr="00DA6B3F">
              <w:rPr>
                <w:b/>
                <w:szCs w:val="24"/>
                <w:lang w:val="sr-Latn-RS"/>
              </w:rPr>
              <w:t>4</w:t>
            </w:r>
            <w:r w:rsidR="00706C8B" w:rsidRPr="00DA6B3F">
              <w:rPr>
                <w:b/>
                <w:szCs w:val="24"/>
                <w:lang w:val="sr-Latn-RS"/>
              </w:rPr>
              <w:t xml:space="preserve">. Poslovni kapacitet ponuđača. </w:t>
            </w:r>
            <w:r w:rsidR="00706C8B" w:rsidRPr="00DA6B3F">
              <w:rPr>
                <w:lang w:val="sr-Latn-RS"/>
              </w:rPr>
              <w:t>Ponuđač mora da dokaže ispunjenost sledećeg uslova:</w:t>
            </w:r>
          </w:p>
          <w:p w14:paraId="6CC3E057" w14:textId="77777777" w:rsidR="006768BA" w:rsidRPr="00DA6B3F" w:rsidRDefault="006768BA" w:rsidP="00D40491">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rPr>
                <w:b/>
                <w:szCs w:val="24"/>
                <w:lang w:val="sr-Latn-RS"/>
              </w:rPr>
            </w:pPr>
          </w:p>
          <w:p w14:paraId="31824EC3" w14:textId="77777777" w:rsidR="008A5B70" w:rsidRPr="00DA6B3F" w:rsidRDefault="00C75DB9" w:rsidP="00D40491">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rPr>
                <w:kern w:val="1"/>
                <w:szCs w:val="24"/>
                <w:lang w:val="sr-Latn-RS" w:bidi="hi-IN"/>
              </w:rPr>
            </w:pPr>
            <w:r w:rsidRPr="00DA6B3F">
              <w:rPr>
                <w:szCs w:val="24"/>
                <w:lang w:val="sr-Latn-RS"/>
              </w:rPr>
              <w:t xml:space="preserve">a) </w:t>
            </w:r>
            <w:r w:rsidR="00BE3BCE" w:rsidRPr="00DA6B3F">
              <w:rPr>
                <w:b/>
                <w:kern w:val="1"/>
                <w:szCs w:val="24"/>
                <w:lang w:val="sr-Latn-RS" w:bidi="hi-IN"/>
              </w:rPr>
              <w:t xml:space="preserve">Iskustvo ponuđača. </w:t>
            </w:r>
            <w:r w:rsidR="00724B7D" w:rsidRPr="00DA6B3F">
              <w:rPr>
                <w:kern w:val="1"/>
                <w:lang w:val="sr-Latn-RS" w:bidi="hi-IN"/>
              </w:rPr>
              <w:t xml:space="preserve">Ponuđač mora da dokaže da je , u periodu od 01.01.2013. godine do </w:t>
            </w:r>
            <w:r w:rsidR="00724B7D" w:rsidRPr="00DA6B3F">
              <w:rPr>
                <w:kern w:val="1"/>
                <w:lang w:val="sr-Latn-RS" w:bidi="hi-IN"/>
              </w:rPr>
              <w:lastRenderedPageBreak/>
              <w:t>datuma objavljivanja poziva za podnošenje ponuda, imao kompletno realizovane isporuke građevinskog materijala na minimum 200 različitih lokacija, od čega minimum dva  ugovora sa isporukom građevinskog materijala na po minimum 20 različitih lokacija.</w:t>
            </w:r>
          </w:p>
          <w:p w14:paraId="6F144AB4" w14:textId="77777777" w:rsidR="00BE3BCE" w:rsidRPr="00DA6B3F" w:rsidRDefault="00BE3BCE" w:rsidP="00D40491">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rPr>
                <w:szCs w:val="24"/>
                <w:lang w:val="sr-Latn-RS"/>
              </w:rPr>
            </w:pPr>
            <w:r w:rsidRPr="00DA6B3F">
              <w:rPr>
                <w:szCs w:val="24"/>
              </w:rPr>
              <w:t xml:space="preserve">Grupa ponuđača: </w:t>
            </w:r>
            <w:r w:rsidRPr="00DA6B3F">
              <w:rPr>
                <w:szCs w:val="24"/>
                <w:lang w:val="sr-Latn-RS"/>
              </w:rPr>
              <w:t>U slučaju podnošenja ponude od strane grupe ponuđača/konzorcijuma, n</w:t>
            </w:r>
            <w:r w:rsidRPr="00DA6B3F">
              <w:rPr>
                <w:szCs w:val="24"/>
              </w:rPr>
              <w:t>avedeni uslov potrebno je da ispunjava</w:t>
            </w:r>
            <w:r w:rsidRPr="00DA6B3F">
              <w:rPr>
                <w:szCs w:val="24"/>
                <w:lang w:val="sr-Latn-RS"/>
              </w:rPr>
              <w:t xml:space="preserve"> vodeći član </w:t>
            </w:r>
            <w:r w:rsidRPr="00DA6B3F">
              <w:rPr>
                <w:szCs w:val="24"/>
              </w:rPr>
              <w:t>grup</w:t>
            </w:r>
            <w:r w:rsidRPr="00DA6B3F">
              <w:rPr>
                <w:szCs w:val="24"/>
                <w:lang w:val="sr-Latn-RS"/>
              </w:rPr>
              <w:t>e ponuđača/konzorcijuma</w:t>
            </w:r>
            <w:r w:rsidRPr="00DA6B3F">
              <w:rPr>
                <w:szCs w:val="24"/>
              </w:rPr>
              <w:t>.</w:t>
            </w:r>
          </w:p>
          <w:p w14:paraId="7882E09C" w14:textId="77777777" w:rsidR="006768BA" w:rsidRPr="00DA6B3F" w:rsidRDefault="00BE3BCE" w:rsidP="00D40491">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240" w:after="120"/>
              <w:jc w:val="both"/>
              <w:outlineLvl w:val="3"/>
              <w:rPr>
                <w:kern w:val="1"/>
                <w:szCs w:val="24"/>
                <w:lang w:val="sr-Latn-RS" w:bidi="hi-IN"/>
              </w:rPr>
            </w:pPr>
            <w:r w:rsidRPr="00DA6B3F">
              <w:rPr>
                <w:szCs w:val="24"/>
                <w:lang w:val="sr-Latn-RS"/>
              </w:rPr>
              <w:t xml:space="preserve">b) </w:t>
            </w:r>
            <w:r w:rsidR="00B06DBE" w:rsidRPr="00DA6B3F">
              <w:rPr>
                <w:b/>
                <w:szCs w:val="24"/>
                <w:lang w:val="sr-Latn-RS"/>
              </w:rPr>
              <w:t>Standardi i sertifikati.</w:t>
            </w:r>
            <w:r w:rsidR="00B06DBE" w:rsidRPr="00DA6B3F">
              <w:rPr>
                <w:szCs w:val="24"/>
                <w:lang w:val="sr-Latn-RS"/>
              </w:rPr>
              <w:t xml:space="preserve"> Ponuđač mora da dokaže da poseduje sledeće sertifikate:</w:t>
            </w:r>
          </w:p>
          <w:p w14:paraId="4FEFBF60" w14:textId="77777777" w:rsidR="00DF1EC7" w:rsidRPr="00DA6B3F" w:rsidRDefault="001F42DB" w:rsidP="00D40491">
            <w:pPr>
              <w:pStyle w:val="BodyText"/>
              <w:rPr>
                <w:lang w:val="sr-Latn-RS"/>
              </w:rPr>
            </w:pPr>
            <w:r w:rsidRPr="00DA6B3F">
              <w:t>ISO 9001:20</w:t>
            </w:r>
            <w:r w:rsidRPr="00DA6B3F">
              <w:rPr>
                <w:lang w:val="sr-Latn-CS"/>
              </w:rPr>
              <w:t>15 (2008)</w:t>
            </w:r>
          </w:p>
          <w:p w14:paraId="3B8DA5B5" w14:textId="77777777" w:rsidR="00B06DBE" w:rsidRPr="00DA6B3F" w:rsidRDefault="00B06DBE" w:rsidP="00D40491">
            <w:pPr>
              <w:pStyle w:val="BodyText"/>
              <w:rPr>
                <w:lang w:val="sr-Latn-RS"/>
              </w:rPr>
            </w:pPr>
            <w:r w:rsidRPr="00DA6B3F">
              <w:rPr>
                <w:lang w:val="sr-Latn-RS"/>
              </w:rPr>
              <w:t>ISO 14001:2015 (2004)</w:t>
            </w:r>
          </w:p>
          <w:p w14:paraId="441AF6CE" w14:textId="77777777" w:rsidR="00B06DBE" w:rsidRPr="00DA6B3F" w:rsidRDefault="00BE3BCE" w:rsidP="00D40491">
            <w:pPr>
              <w:pStyle w:val="BodyText"/>
              <w:rPr>
                <w:lang w:val="sr-Latn-RS"/>
              </w:rPr>
            </w:pPr>
            <w:r w:rsidRPr="00DA6B3F">
              <w:rPr>
                <w:lang w:val="sr-Latn-RS"/>
              </w:rPr>
              <w:t>OHSAS 18000:2007</w:t>
            </w:r>
          </w:p>
          <w:p w14:paraId="597B25CF" w14:textId="77777777" w:rsidR="00B06DBE" w:rsidRPr="00DA6B3F" w:rsidRDefault="00B06DBE" w:rsidP="00D40491">
            <w:pPr>
              <w:pStyle w:val="BodyText"/>
              <w:rPr>
                <w:lang w:val="sr-Latn-RS"/>
              </w:rPr>
            </w:pPr>
          </w:p>
          <w:p w14:paraId="64666265" w14:textId="77777777" w:rsidR="001F42DB" w:rsidRPr="00DA6B3F" w:rsidRDefault="001F42DB" w:rsidP="00D40491">
            <w:pPr>
              <w:pStyle w:val="BodyText"/>
              <w:rPr>
                <w:lang w:val="sr-Latn-CS"/>
              </w:rPr>
            </w:pPr>
            <w:r w:rsidRPr="00DA6B3F">
              <w:rPr>
                <w:lang w:val="sr-Latn-CS"/>
              </w:rPr>
              <w:t xml:space="preserve">S obzirom na tranzicioni period </w:t>
            </w:r>
            <w:r w:rsidR="00B06DBE" w:rsidRPr="00DA6B3F">
              <w:rPr>
                <w:lang w:val="sr-Latn-CS"/>
              </w:rPr>
              <w:t>za usvajanje novih IS0 9001 i 14001, biće prihvatljive</w:t>
            </w:r>
            <w:r w:rsidR="00C75DB9" w:rsidRPr="00DA6B3F">
              <w:rPr>
                <w:lang w:val="sr-Latn-CS"/>
              </w:rPr>
              <w:t xml:space="preserve"> i verzije</w:t>
            </w:r>
            <w:r w:rsidRPr="00DA6B3F">
              <w:rPr>
                <w:lang w:val="sr-Latn-CS"/>
              </w:rPr>
              <w:t xml:space="preserve"> 2008</w:t>
            </w:r>
            <w:r w:rsidR="00B06DBE" w:rsidRPr="00DA6B3F">
              <w:rPr>
                <w:lang w:val="sr-Latn-CS"/>
              </w:rPr>
              <w:t xml:space="preserve"> i 2004</w:t>
            </w:r>
            <w:r w:rsidRPr="00DA6B3F">
              <w:rPr>
                <w:lang w:val="sr-Latn-CS"/>
              </w:rPr>
              <w:t>.</w:t>
            </w:r>
          </w:p>
          <w:p w14:paraId="46D9A19F" w14:textId="77777777" w:rsidR="002D6E25" w:rsidRPr="00DA6B3F" w:rsidRDefault="00F5074E" w:rsidP="00517365">
            <w:pPr>
              <w:spacing w:before="60" w:after="60" w:line="240" w:lineRule="auto"/>
              <w:rPr>
                <w:rFonts w:ascii="Times New Roman" w:hAnsi="Times New Roman" w:cs="Times New Roman"/>
                <w:sz w:val="24"/>
                <w:szCs w:val="24"/>
              </w:rPr>
            </w:pPr>
            <w:r w:rsidRPr="00DA6B3F">
              <w:rPr>
                <w:rFonts w:ascii="Times New Roman" w:hAnsi="Times New Roman" w:cs="Times New Roman"/>
                <w:sz w:val="24"/>
                <w:szCs w:val="24"/>
              </w:rPr>
              <w:t>Grupa</w:t>
            </w:r>
            <w:r w:rsidR="00DF1EC7" w:rsidRPr="00DA6B3F">
              <w:rPr>
                <w:rFonts w:ascii="Times New Roman" w:hAnsi="Times New Roman" w:cs="Times New Roman"/>
                <w:sz w:val="24"/>
                <w:szCs w:val="24"/>
              </w:rPr>
              <w:t xml:space="preserve"> </w:t>
            </w:r>
            <w:r w:rsidRPr="00DA6B3F">
              <w:rPr>
                <w:rFonts w:ascii="Times New Roman" w:hAnsi="Times New Roman" w:cs="Times New Roman"/>
                <w:sz w:val="24"/>
                <w:szCs w:val="24"/>
              </w:rPr>
              <w:t>ponuđača</w:t>
            </w:r>
            <w:r w:rsidR="00DF1EC7" w:rsidRPr="00DA6B3F">
              <w:rPr>
                <w:rFonts w:ascii="Times New Roman" w:hAnsi="Times New Roman" w:cs="Times New Roman"/>
                <w:sz w:val="24"/>
                <w:szCs w:val="24"/>
              </w:rPr>
              <w:t xml:space="preserve">: </w:t>
            </w:r>
            <w:r w:rsidR="00C75DB9" w:rsidRPr="00DA6B3F">
              <w:rPr>
                <w:rFonts w:ascii="Times New Roman" w:hAnsi="Times New Roman" w:cs="Times New Roman"/>
                <w:sz w:val="24"/>
                <w:szCs w:val="24"/>
                <w:lang w:val="sr-Latn-RS"/>
              </w:rPr>
              <w:t>U slučaju podnošenja ponude od strane grupe ponuđača/konzorcijuma, n</w:t>
            </w:r>
            <w:r w:rsidRPr="00DA6B3F">
              <w:rPr>
                <w:rFonts w:ascii="Times New Roman" w:hAnsi="Times New Roman" w:cs="Times New Roman"/>
                <w:sz w:val="24"/>
                <w:szCs w:val="24"/>
              </w:rPr>
              <w:t>avedeni</w:t>
            </w:r>
            <w:r w:rsidR="00DF1EC7" w:rsidRPr="00DA6B3F">
              <w:rPr>
                <w:rFonts w:ascii="Times New Roman" w:hAnsi="Times New Roman" w:cs="Times New Roman"/>
                <w:sz w:val="24"/>
                <w:szCs w:val="24"/>
              </w:rPr>
              <w:t xml:space="preserve"> </w:t>
            </w:r>
            <w:r w:rsidR="0084337A" w:rsidRPr="00DA6B3F">
              <w:rPr>
                <w:rFonts w:ascii="Times New Roman" w:hAnsi="Times New Roman" w:cs="Times New Roman"/>
                <w:sz w:val="24"/>
                <w:szCs w:val="24"/>
              </w:rPr>
              <w:t>uslov</w:t>
            </w:r>
            <w:r w:rsidR="00DF1EC7" w:rsidRPr="00DA6B3F">
              <w:rPr>
                <w:rFonts w:ascii="Times New Roman" w:hAnsi="Times New Roman" w:cs="Times New Roman"/>
                <w:sz w:val="24"/>
                <w:szCs w:val="24"/>
              </w:rPr>
              <w:t xml:space="preserve"> </w:t>
            </w:r>
            <w:r w:rsidRPr="00DA6B3F">
              <w:rPr>
                <w:rFonts w:ascii="Times New Roman" w:hAnsi="Times New Roman" w:cs="Times New Roman"/>
                <w:sz w:val="24"/>
                <w:szCs w:val="24"/>
              </w:rPr>
              <w:t>potrebno</w:t>
            </w:r>
            <w:r w:rsidR="00DF1EC7" w:rsidRPr="00DA6B3F">
              <w:rPr>
                <w:rFonts w:ascii="Times New Roman" w:hAnsi="Times New Roman" w:cs="Times New Roman"/>
                <w:sz w:val="24"/>
                <w:szCs w:val="24"/>
              </w:rPr>
              <w:t xml:space="preserve"> </w:t>
            </w:r>
            <w:r w:rsidRPr="00DA6B3F">
              <w:rPr>
                <w:rFonts w:ascii="Times New Roman" w:hAnsi="Times New Roman" w:cs="Times New Roman"/>
                <w:sz w:val="24"/>
                <w:szCs w:val="24"/>
              </w:rPr>
              <w:t>je</w:t>
            </w:r>
            <w:r w:rsidR="00DF1EC7" w:rsidRPr="00DA6B3F">
              <w:rPr>
                <w:rFonts w:ascii="Times New Roman" w:hAnsi="Times New Roman" w:cs="Times New Roman"/>
                <w:sz w:val="24"/>
                <w:szCs w:val="24"/>
              </w:rPr>
              <w:t xml:space="preserve"> </w:t>
            </w:r>
            <w:r w:rsidRPr="00DA6B3F">
              <w:rPr>
                <w:rFonts w:ascii="Times New Roman" w:hAnsi="Times New Roman" w:cs="Times New Roman"/>
                <w:sz w:val="24"/>
                <w:szCs w:val="24"/>
              </w:rPr>
              <w:t>da</w:t>
            </w:r>
            <w:r w:rsidR="00DF1EC7" w:rsidRPr="00DA6B3F">
              <w:rPr>
                <w:rFonts w:ascii="Times New Roman" w:hAnsi="Times New Roman" w:cs="Times New Roman"/>
                <w:sz w:val="24"/>
                <w:szCs w:val="24"/>
              </w:rPr>
              <w:t xml:space="preserve"> </w:t>
            </w:r>
            <w:r w:rsidRPr="00DA6B3F">
              <w:rPr>
                <w:rFonts w:ascii="Times New Roman" w:hAnsi="Times New Roman" w:cs="Times New Roman"/>
                <w:sz w:val="24"/>
                <w:szCs w:val="24"/>
              </w:rPr>
              <w:t>ispunjava</w:t>
            </w:r>
            <w:r w:rsidR="00C75DB9" w:rsidRPr="00DA6B3F">
              <w:rPr>
                <w:rFonts w:ascii="Times New Roman" w:hAnsi="Times New Roman" w:cs="Times New Roman"/>
                <w:sz w:val="24"/>
                <w:szCs w:val="24"/>
                <w:lang w:val="sr-Latn-RS"/>
              </w:rPr>
              <w:t xml:space="preserve"> vodeći član </w:t>
            </w:r>
            <w:r w:rsidR="00C75DB9" w:rsidRPr="00DA6B3F">
              <w:rPr>
                <w:rFonts w:ascii="Times New Roman" w:hAnsi="Times New Roman" w:cs="Times New Roman"/>
                <w:sz w:val="24"/>
                <w:szCs w:val="24"/>
              </w:rPr>
              <w:t>grup</w:t>
            </w:r>
            <w:r w:rsidR="00C75DB9" w:rsidRPr="00DA6B3F">
              <w:rPr>
                <w:rFonts w:ascii="Times New Roman" w:hAnsi="Times New Roman" w:cs="Times New Roman"/>
                <w:sz w:val="24"/>
                <w:szCs w:val="24"/>
                <w:lang w:val="sr-Latn-RS"/>
              </w:rPr>
              <w:t>e ponuđača/konzorcijuma</w:t>
            </w:r>
            <w:r w:rsidR="00C80A9A" w:rsidRPr="00DA6B3F">
              <w:rPr>
                <w:rFonts w:ascii="Times New Roman" w:hAnsi="Times New Roman" w:cs="Times New Roman"/>
                <w:sz w:val="24"/>
                <w:szCs w:val="24"/>
              </w:rPr>
              <w:t>.</w:t>
            </w:r>
          </w:p>
        </w:tc>
      </w:tr>
      <w:tr w:rsidR="002D6E25" w:rsidRPr="00DA6B3F" w14:paraId="2D856E58" w14:textId="77777777" w:rsidTr="009C6217">
        <w:trPr>
          <w:trHeight w:val="226"/>
        </w:trPr>
        <w:tc>
          <w:tcPr>
            <w:tcW w:w="383" w:type="pct"/>
            <w:shd w:val="clear" w:color="auto" w:fill="FFFFFF"/>
            <w:tcMar>
              <w:top w:w="0" w:type="dxa"/>
              <w:left w:w="108" w:type="dxa"/>
              <w:bottom w:w="0" w:type="dxa"/>
              <w:right w:w="108" w:type="dxa"/>
            </w:tcMar>
          </w:tcPr>
          <w:p w14:paraId="52FB5D79" w14:textId="77777777" w:rsidR="002D6E25" w:rsidRPr="00DA6B3F"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03DCA45" w14:textId="77777777" w:rsidR="002D6E25" w:rsidRPr="00DA6B3F" w:rsidRDefault="002D6E25" w:rsidP="009C6217">
            <w:pPr>
              <w:spacing w:before="60" w:after="60" w:line="240" w:lineRule="auto"/>
              <w:rPr>
                <w:rFonts w:ascii="Times New Roman" w:hAnsi="Times New Roman" w:cs="Times New Roman"/>
                <w:sz w:val="24"/>
                <w:szCs w:val="24"/>
              </w:rPr>
            </w:pPr>
          </w:p>
        </w:tc>
      </w:tr>
      <w:tr w:rsidR="002D6E25" w:rsidRPr="00DA6B3F" w14:paraId="404D7742" w14:textId="77777777" w:rsidTr="009C6217">
        <w:trPr>
          <w:trHeight w:val="745"/>
        </w:trPr>
        <w:tc>
          <w:tcPr>
            <w:tcW w:w="383" w:type="pct"/>
            <w:shd w:val="clear" w:color="auto" w:fill="FFFFFF"/>
            <w:tcMar>
              <w:top w:w="0" w:type="dxa"/>
              <w:left w:w="108" w:type="dxa"/>
              <w:bottom w:w="0" w:type="dxa"/>
              <w:right w:w="108" w:type="dxa"/>
            </w:tcMar>
          </w:tcPr>
          <w:p w14:paraId="72E6DF10" w14:textId="77777777" w:rsidR="002D6E25" w:rsidRPr="00DA6B3F"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E085264" w14:textId="77777777" w:rsidR="002D6E25" w:rsidRPr="00DA6B3F" w:rsidRDefault="00F5074E" w:rsidP="00FC64AE">
            <w:pPr>
              <w:spacing w:before="60" w:after="60" w:line="240" w:lineRule="auto"/>
              <w:rPr>
                <w:rFonts w:ascii="Times New Roman" w:hAnsi="Times New Roman" w:cs="Times New Roman"/>
                <w:sz w:val="24"/>
                <w:szCs w:val="24"/>
                <w:lang w:val="sr-Latn-CS"/>
              </w:rPr>
            </w:pPr>
            <w:r w:rsidRPr="00DA6B3F">
              <w:rPr>
                <w:rFonts w:ascii="Times New Roman" w:hAnsi="Times New Roman" w:cs="Times New Roman"/>
                <w:sz w:val="24"/>
                <w:szCs w:val="24"/>
              </w:rPr>
              <w:t>Kriterijumi</w:t>
            </w:r>
            <w:r w:rsidR="009E33F0" w:rsidRPr="00DA6B3F">
              <w:rPr>
                <w:rFonts w:ascii="Times New Roman" w:hAnsi="Times New Roman" w:cs="Times New Roman"/>
                <w:sz w:val="24"/>
                <w:szCs w:val="24"/>
              </w:rPr>
              <w:t xml:space="preserve"> </w:t>
            </w:r>
            <w:r w:rsidRPr="00DA6B3F">
              <w:rPr>
                <w:rFonts w:ascii="Times New Roman" w:hAnsi="Times New Roman" w:cs="Times New Roman"/>
                <w:sz w:val="24"/>
                <w:szCs w:val="24"/>
              </w:rPr>
              <w:t>dodele</w:t>
            </w:r>
            <w:r w:rsidR="009E33F0" w:rsidRPr="00DA6B3F">
              <w:rPr>
                <w:rFonts w:ascii="Times New Roman" w:hAnsi="Times New Roman" w:cs="Times New Roman"/>
                <w:sz w:val="24"/>
                <w:szCs w:val="24"/>
              </w:rPr>
              <w:t xml:space="preserve"> </w:t>
            </w:r>
            <w:r w:rsidRPr="00DA6B3F">
              <w:rPr>
                <w:rFonts w:ascii="Times New Roman" w:hAnsi="Times New Roman" w:cs="Times New Roman"/>
                <w:sz w:val="24"/>
                <w:szCs w:val="24"/>
              </w:rPr>
              <w:t>ugovora</w:t>
            </w:r>
            <w:r w:rsidR="00FC64AE" w:rsidRPr="00DA6B3F">
              <w:rPr>
                <w:rFonts w:ascii="Times New Roman" w:hAnsi="Times New Roman" w:cs="Times New Roman"/>
                <w:sz w:val="24"/>
                <w:szCs w:val="24"/>
                <w:lang w:val="sr-Latn-CS"/>
              </w:rPr>
              <w:t xml:space="preserve"> :</w:t>
            </w:r>
          </w:p>
        </w:tc>
      </w:tr>
      <w:tr w:rsidR="002D6E25" w:rsidRPr="00DA6B3F" w14:paraId="3B80E5CE" w14:textId="77777777" w:rsidTr="009C6217">
        <w:trPr>
          <w:trHeight w:val="1720"/>
        </w:trPr>
        <w:tc>
          <w:tcPr>
            <w:tcW w:w="383" w:type="pct"/>
            <w:shd w:val="clear" w:color="auto" w:fill="FFFFFF"/>
            <w:tcMar>
              <w:top w:w="0" w:type="dxa"/>
              <w:left w:w="108" w:type="dxa"/>
              <w:bottom w:w="0" w:type="dxa"/>
              <w:right w:w="108" w:type="dxa"/>
            </w:tcMar>
          </w:tcPr>
          <w:p w14:paraId="76E4E9E7" w14:textId="77777777" w:rsidR="002D6E25" w:rsidRPr="00DA6B3F"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46EE3555" w14:textId="77777777" w:rsidR="002D6E25" w:rsidRPr="00DA6B3F" w:rsidRDefault="00F5074E" w:rsidP="009C6217">
            <w:pPr>
              <w:spacing w:before="60" w:after="60" w:line="240" w:lineRule="auto"/>
              <w:rPr>
                <w:rFonts w:ascii="Times New Roman" w:hAnsi="Times New Roman" w:cs="Times New Roman"/>
                <w:sz w:val="24"/>
                <w:szCs w:val="24"/>
                <w:lang w:val="sr-Latn-CS"/>
              </w:rPr>
            </w:pPr>
            <w:r w:rsidRPr="00DA6B3F">
              <w:rPr>
                <w:rFonts w:ascii="Times New Roman" w:hAnsi="Times New Roman" w:cs="Times New Roman"/>
                <w:sz w:val="24"/>
                <w:szCs w:val="24"/>
              </w:rPr>
              <w:t>Najniža</w:t>
            </w:r>
            <w:r w:rsidR="00B30A48" w:rsidRPr="00DA6B3F">
              <w:rPr>
                <w:rFonts w:ascii="Times New Roman" w:hAnsi="Times New Roman" w:cs="Times New Roman"/>
                <w:sz w:val="24"/>
                <w:szCs w:val="24"/>
              </w:rPr>
              <w:t xml:space="preserve"> </w:t>
            </w:r>
            <w:r w:rsidRPr="00DA6B3F">
              <w:rPr>
                <w:rFonts w:ascii="Times New Roman" w:hAnsi="Times New Roman" w:cs="Times New Roman"/>
                <w:sz w:val="24"/>
                <w:szCs w:val="24"/>
              </w:rPr>
              <w:t>ponuđena</w:t>
            </w:r>
            <w:r w:rsidR="00B30A48" w:rsidRPr="00DA6B3F">
              <w:rPr>
                <w:rFonts w:ascii="Times New Roman" w:hAnsi="Times New Roman" w:cs="Times New Roman"/>
                <w:sz w:val="24"/>
                <w:szCs w:val="24"/>
              </w:rPr>
              <w:t xml:space="preserve"> </w:t>
            </w:r>
            <w:r w:rsidRPr="00DA6B3F">
              <w:rPr>
                <w:rFonts w:ascii="Times New Roman" w:hAnsi="Times New Roman" w:cs="Times New Roman"/>
                <w:sz w:val="24"/>
                <w:szCs w:val="24"/>
              </w:rPr>
              <w:t>cena</w:t>
            </w:r>
            <w:r w:rsidR="001F42DB" w:rsidRPr="00DA6B3F">
              <w:rPr>
                <w:rFonts w:ascii="Times New Roman" w:hAnsi="Times New Roman" w:cs="Times New Roman"/>
                <w:sz w:val="24"/>
                <w:szCs w:val="24"/>
                <w:lang w:val="sr-Latn-CS"/>
              </w:rPr>
              <w:t>.</w:t>
            </w:r>
          </w:p>
        </w:tc>
      </w:tr>
      <w:tr w:rsidR="002D6E25" w:rsidRPr="00DA6B3F" w14:paraId="00EC1851" w14:textId="77777777" w:rsidTr="009C6217">
        <w:trPr>
          <w:trHeight w:val="236"/>
        </w:trPr>
        <w:tc>
          <w:tcPr>
            <w:tcW w:w="383" w:type="pct"/>
            <w:shd w:val="clear" w:color="auto" w:fill="FFFFFF"/>
            <w:tcMar>
              <w:top w:w="0" w:type="dxa"/>
              <w:left w:w="108" w:type="dxa"/>
              <w:bottom w:w="0" w:type="dxa"/>
              <w:right w:w="108" w:type="dxa"/>
            </w:tcMar>
          </w:tcPr>
          <w:p w14:paraId="5AFCE733" w14:textId="77777777" w:rsidR="002D6E25" w:rsidRPr="00DA6B3F"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333E87CA" w14:textId="77777777" w:rsidR="002D6E25" w:rsidRPr="00DA6B3F" w:rsidRDefault="002D6E25" w:rsidP="009C6217">
            <w:pPr>
              <w:spacing w:before="60" w:after="60" w:line="240" w:lineRule="auto"/>
              <w:rPr>
                <w:rFonts w:ascii="Times New Roman" w:hAnsi="Times New Roman" w:cs="Times New Roman"/>
                <w:sz w:val="24"/>
                <w:szCs w:val="24"/>
              </w:rPr>
            </w:pPr>
          </w:p>
        </w:tc>
      </w:tr>
      <w:tr w:rsidR="002D6E25" w:rsidRPr="00DA6B3F" w14:paraId="11A2244D" w14:textId="77777777" w:rsidTr="00421C6D">
        <w:trPr>
          <w:trHeight w:val="745"/>
        </w:trPr>
        <w:tc>
          <w:tcPr>
            <w:tcW w:w="383" w:type="pct"/>
            <w:shd w:val="clear" w:color="auto" w:fill="FFFFFF"/>
            <w:tcMar>
              <w:top w:w="0" w:type="dxa"/>
              <w:left w:w="108" w:type="dxa"/>
              <w:bottom w:w="0" w:type="dxa"/>
              <w:right w:w="108" w:type="dxa"/>
            </w:tcMar>
          </w:tcPr>
          <w:p w14:paraId="7C6D9D49" w14:textId="77777777" w:rsidR="002D6E25" w:rsidRPr="00DA6B3F"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1437ECC3" w14:textId="77777777" w:rsidR="002D6E25" w:rsidRPr="00DA6B3F" w:rsidRDefault="00F5074E" w:rsidP="002F55CB">
            <w:pPr>
              <w:spacing w:before="60" w:after="60" w:line="240" w:lineRule="auto"/>
              <w:rPr>
                <w:rFonts w:ascii="Times New Roman" w:hAnsi="Times New Roman" w:cs="Times New Roman"/>
                <w:sz w:val="24"/>
                <w:szCs w:val="24"/>
              </w:rPr>
            </w:pPr>
            <w:r w:rsidRPr="00DA6B3F">
              <w:rPr>
                <w:rFonts w:ascii="Times New Roman" w:hAnsi="Times New Roman" w:cs="Times New Roman"/>
                <w:sz w:val="24"/>
                <w:szCs w:val="24"/>
              </w:rPr>
              <w:t>Pristup</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tenderskoj</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dokumentaciji</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internet</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adresa</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sa</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koje</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se</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mogu</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preuzeti</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tenderska</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dokumenta</w:t>
            </w:r>
            <w:r w:rsidR="002F55CB" w:rsidRPr="00DA6B3F">
              <w:rPr>
                <w:rFonts w:ascii="Times New Roman" w:hAnsi="Times New Roman" w:cs="Times New Roman"/>
                <w:sz w:val="24"/>
                <w:szCs w:val="24"/>
              </w:rPr>
              <w:t>:</w:t>
            </w:r>
            <w:r w:rsidR="004511C2" w:rsidRPr="00DA6B3F">
              <w:rPr>
                <w:rFonts w:ascii="Times New Roman" w:hAnsi="Times New Roman" w:cs="Times New Roman"/>
                <w:sz w:val="24"/>
                <w:szCs w:val="24"/>
              </w:rPr>
              <w:t xml:space="preserve"> </w:t>
            </w:r>
          </w:p>
        </w:tc>
        <w:tc>
          <w:tcPr>
            <w:tcW w:w="2796" w:type="pct"/>
            <w:shd w:val="clear" w:color="auto" w:fill="C6D9F1"/>
            <w:tcMar>
              <w:top w:w="0" w:type="dxa"/>
              <w:left w:w="108" w:type="dxa"/>
              <w:bottom w:w="0" w:type="dxa"/>
              <w:right w:w="108" w:type="dxa"/>
            </w:tcMar>
          </w:tcPr>
          <w:p w14:paraId="4082C1CB" w14:textId="77777777" w:rsidR="00687B7F" w:rsidRPr="00DA6B3F" w:rsidRDefault="000502FB" w:rsidP="00687B7F">
            <w:pPr>
              <w:spacing w:before="60" w:after="60" w:line="240" w:lineRule="auto"/>
              <w:rPr>
                <w:rFonts w:ascii="Times New Roman" w:hAnsi="Times New Roman" w:cs="Times New Roman"/>
                <w:sz w:val="24"/>
                <w:szCs w:val="24"/>
              </w:rPr>
            </w:pPr>
            <w:hyperlink r:id="rId9" w:history="1">
              <w:r w:rsidR="00380CD7" w:rsidRPr="00DA6B3F">
                <w:rPr>
                  <w:rFonts w:ascii="Times New Roman" w:hAnsi="Times New Roman" w:cs="Times New Roman"/>
                  <w:sz w:val="24"/>
                  <w:szCs w:val="24"/>
                </w:rPr>
                <w:t>http://www.piu.rs</w:t>
              </w:r>
            </w:hyperlink>
          </w:p>
          <w:p w14:paraId="73515120" w14:textId="77777777" w:rsidR="00380CD7" w:rsidRPr="00DA6B3F" w:rsidRDefault="000502FB" w:rsidP="000A1FA5">
            <w:pPr>
              <w:spacing w:before="60" w:after="60" w:line="240" w:lineRule="auto"/>
              <w:rPr>
                <w:rFonts w:ascii="Times New Roman" w:hAnsi="Times New Roman" w:cs="Times New Roman"/>
                <w:sz w:val="24"/>
                <w:szCs w:val="24"/>
              </w:rPr>
            </w:pPr>
            <w:hyperlink r:id="rId10" w:history="1">
              <w:r w:rsidR="00380CD7" w:rsidRPr="00DA6B3F">
                <w:rPr>
                  <w:rFonts w:ascii="Times New Roman" w:hAnsi="Times New Roman" w:cs="Times New Roman"/>
                  <w:sz w:val="24"/>
                  <w:szCs w:val="24"/>
                </w:rPr>
                <w:t>http://portal.ujn.gov.rs</w:t>
              </w:r>
            </w:hyperlink>
          </w:p>
        </w:tc>
      </w:tr>
      <w:tr w:rsidR="002D6E25" w:rsidRPr="00DA6B3F" w14:paraId="18128A14" w14:textId="77777777" w:rsidTr="009C6217">
        <w:tc>
          <w:tcPr>
            <w:tcW w:w="383" w:type="pct"/>
            <w:shd w:val="clear" w:color="auto" w:fill="FFFFFF"/>
            <w:tcMar>
              <w:top w:w="0" w:type="dxa"/>
              <w:left w:w="108" w:type="dxa"/>
              <w:bottom w:w="0" w:type="dxa"/>
              <w:right w:w="108" w:type="dxa"/>
            </w:tcMar>
          </w:tcPr>
          <w:p w14:paraId="14575233" w14:textId="77777777" w:rsidR="002D6E25" w:rsidRPr="00DA6B3F"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74F93927" w14:textId="77777777" w:rsidR="002D6E25" w:rsidRPr="00DA6B3F" w:rsidRDefault="002D6E25" w:rsidP="009C6217">
            <w:pPr>
              <w:spacing w:before="60" w:after="60" w:line="240" w:lineRule="auto"/>
              <w:rPr>
                <w:rFonts w:ascii="Times New Roman" w:hAnsi="Times New Roman" w:cs="Times New Roman"/>
                <w:sz w:val="24"/>
                <w:szCs w:val="24"/>
              </w:rPr>
            </w:pPr>
          </w:p>
        </w:tc>
      </w:tr>
      <w:tr w:rsidR="00D40491" w:rsidRPr="00DA6B3F" w14:paraId="4F8E5C25" w14:textId="77777777" w:rsidTr="00623D43">
        <w:trPr>
          <w:gridAfter w:val="2"/>
          <w:wAfter w:w="4617" w:type="pct"/>
          <w:trHeight w:val="992"/>
        </w:trPr>
        <w:tc>
          <w:tcPr>
            <w:tcW w:w="383" w:type="pct"/>
            <w:shd w:val="clear" w:color="auto" w:fill="FFFFFF"/>
            <w:tcMar>
              <w:top w:w="0" w:type="dxa"/>
              <w:left w:w="108" w:type="dxa"/>
              <w:bottom w:w="0" w:type="dxa"/>
              <w:right w:w="108" w:type="dxa"/>
            </w:tcMar>
          </w:tcPr>
          <w:p w14:paraId="1A47CCF4" w14:textId="77777777" w:rsidR="00D40491" w:rsidRPr="00DA6B3F" w:rsidRDefault="00D40491"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r>
      <w:tr w:rsidR="002D6E25" w:rsidRPr="00DA6B3F" w14:paraId="10F9F171" w14:textId="77777777" w:rsidTr="009C6217">
        <w:trPr>
          <w:trHeight w:val="343"/>
        </w:trPr>
        <w:tc>
          <w:tcPr>
            <w:tcW w:w="383" w:type="pct"/>
            <w:shd w:val="clear" w:color="auto" w:fill="FFFFFF"/>
            <w:tcMar>
              <w:top w:w="0" w:type="dxa"/>
              <w:left w:w="108" w:type="dxa"/>
              <w:bottom w:w="0" w:type="dxa"/>
              <w:right w:w="108" w:type="dxa"/>
            </w:tcMar>
          </w:tcPr>
          <w:p w14:paraId="2371D76D" w14:textId="77777777" w:rsidR="002D6E25" w:rsidRPr="00DA6B3F"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61623E39" w14:textId="77777777" w:rsidR="002D6E25" w:rsidRPr="00DA6B3F" w:rsidRDefault="002D6E25" w:rsidP="009C6217">
            <w:pPr>
              <w:spacing w:before="60" w:after="60" w:line="240" w:lineRule="auto"/>
              <w:rPr>
                <w:rFonts w:ascii="Times New Roman" w:hAnsi="Times New Roman" w:cs="Times New Roman"/>
                <w:sz w:val="24"/>
                <w:szCs w:val="24"/>
              </w:rPr>
            </w:pPr>
          </w:p>
        </w:tc>
      </w:tr>
      <w:tr w:rsidR="002D6E25" w:rsidRPr="00DA6B3F" w14:paraId="77BA2DB4" w14:textId="77777777" w:rsidTr="00421C6D">
        <w:trPr>
          <w:trHeight w:val="745"/>
        </w:trPr>
        <w:tc>
          <w:tcPr>
            <w:tcW w:w="383" w:type="pct"/>
            <w:shd w:val="clear" w:color="auto" w:fill="FFFFFF"/>
            <w:tcMar>
              <w:top w:w="0" w:type="dxa"/>
              <w:left w:w="108" w:type="dxa"/>
              <w:bottom w:w="0" w:type="dxa"/>
              <w:right w:w="108" w:type="dxa"/>
            </w:tcMar>
          </w:tcPr>
          <w:p w14:paraId="5FB042A2" w14:textId="77777777" w:rsidR="002D6E25" w:rsidRPr="00DA6B3F"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07F91EBE" w14:textId="77777777" w:rsidR="002D6E25" w:rsidRPr="00DA6B3F" w:rsidRDefault="00F5074E" w:rsidP="002F55CB">
            <w:pPr>
              <w:spacing w:before="60" w:after="60" w:line="240" w:lineRule="auto"/>
              <w:rPr>
                <w:rFonts w:ascii="Times New Roman" w:hAnsi="Times New Roman" w:cs="Times New Roman"/>
                <w:sz w:val="24"/>
                <w:szCs w:val="24"/>
              </w:rPr>
            </w:pPr>
            <w:r w:rsidRPr="00DA6B3F">
              <w:rPr>
                <w:rFonts w:ascii="Times New Roman" w:hAnsi="Times New Roman" w:cs="Times New Roman"/>
                <w:sz w:val="24"/>
                <w:szCs w:val="24"/>
              </w:rPr>
              <w:t>Podnošenje</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ponuda</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rok</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za</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podnošenje</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ponuda</w:t>
            </w:r>
            <w:r w:rsidR="004511C2" w:rsidRPr="00DA6B3F">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7B1D02FC" w14:textId="77777777" w:rsidR="008F62E9" w:rsidRPr="00DA6B3F" w:rsidRDefault="00F5074E" w:rsidP="00790B38">
            <w:pPr>
              <w:spacing w:before="60" w:after="60" w:line="240" w:lineRule="auto"/>
              <w:jc w:val="both"/>
              <w:rPr>
                <w:rFonts w:ascii="Times New Roman" w:hAnsi="Times New Roman" w:cs="Times New Roman"/>
                <w:sz w:val="24"/>
                <w:szCs w:val="24"/>
              </w:rPr>
            </w:pPr>
            <w:r w:rsidRPr="00DA6B3F">
              <w:rPr>
                <w:rFonts w:ascii="Times New Roman" w:hAnsi="Times New Roman" w:cs="Times New Roman"/>
                <w:sz w:val="24"/>
                <w:szCs w:val="24"/>
              </w:rPr>
              <w:t>Ponuda</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bi</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trebalo</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podneti</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kao</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preporučeno</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pismo</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sa</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povratnicom</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ili</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u</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slučaju</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ličnog</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dostavljanja</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sa</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predatom</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potvrdom</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o</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prijemu</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ponude</w:t>
            </w:r>
            <w:r w:rsidR="008F62E9" w:rsidRPr="00DA6B3F">
              <w:rPr>
                <w:rFonts w:ascii="Times New Roman" w:hAnsi="Times New Roman" w:cs="Times New Roman"/>
                <w:sz w:val="24"/>
                <w:szCs w:val="24"/>
              </w:rPr>
              <w:t xml:space="preserve">. </w:t>
            </w:r>
          </w:p>
          <w:p w14:paraId="230884F2" w14:textId="2316AF96" w:rsidR="00790B38" w:rsidRPr="00DA6B3F" w:rsidRDefault="00F5074E" w:rsidP="00790B38">
            <w:pPr>
              <w:spacing w:before="60" w:after="60" w:line="240" w:lineRule="auto"/>
              <w:jc w:val="both"/>
              <w:rPr>
                <w:rFonts w:ascii="Times New Roman" w:hAnsi="Times New Roman" w:cs="Times New Roman"/>
                <w:sz w:val="24"/>
                <w:szCs w:val="24"/>
              </w:rPr>
            </w:pPr>
            <w:r w:rsidRPr="00DA6B3F">
              <w:rPr>
                <w:rFonts w:ascii="Times New Roman" w:hAnsi="Times New Roman" w:cs="Times New Roman"/>
                <w:sz w:val="24"/>
                <w:szCs w:val="24"/>
              </w:rPr>
              <w:t>Ponuda</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se</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mora</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podneti</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na</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sledeću</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adresu</w:t>
            </w:r>
            <w:r w:rsidR="00790B38" w:rsidRPr="00DA6B3F">
              <w:rPr>
                <w:rFonts w:ascii="Times New Roman" w:hAnsi="Times New Roman" w:cs="Times New Roman"/>
                <w:sz w:val="24"/>
                <w:szCs w:val="24"/>
              </w:rPr>
              <w:t xml:space="preserve">: </w:t>
            </w:r>
            <w:r w:rsidR="00D2520C" w:rsidRPr="00DA6B3F">
              <w:rPr>
                <w:rFonts w:ascii="Times New Roman" w:eastAsiaTheme="minorEastAsia" w:hAnsi="Times New Roman" w:cs="Times New Roman"/>
                <w:color w:val="auto"/>
                <w:sz w:val="24"/>
                <w:szCs w:val="24"/>
                <w:lang w:val="sr-Latn-CS"/>
              </w:rPr>
              <w:t>Jedinica za upravljanje projektima u javnom sektoru d.o.o. Beograd</w:t>
            </w:r>
            <w:r w:rsidR="00240CE7" w:rsidRPr="00DA6B3F">
              <w:rPr>
                <w:rFonts w:ascii="Times New Roman" w:hAnsi="Times New Roman" w:cs="Times New Roman"/>
                <w:sz w:val="24"/>
                <w:szCs w:val="24"/>
              </w:rPr>
              <w:t xml:space="preserve">, </w:t>
            </w:r>
            <w:r w:rsidRPr="00DA6B3F">
              <w:rPr>
                <w:rFonts w:ascii="Times New Roman" w:hAnsi="Times New Roman" w:cs="Times New Roman"/>
                <w:sz w:val="24"/>
                <w:szCs w:val="24"/>
              </w:rPr>
              <w:t>Veljka</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Dugoševića</w:t>
            </w:r>
            <w:r w:rsidR="00790B38" w:rsidRPr="00DA6B3F">
              <w:rPr>
                <w:rFonts w:ascii="Times New Roman" w:hAnsi="Times New Roman" w:cs="Times New Roman"/>
                <w:sz w:val="24"/>
                <w:szCs w:val="24"/>
              </w:rPr>
              <w:t xml:space="preserve"> 54, </w:t>
            </w:r>
            <w:r w:rsidR="007F71BC" w:rsidRPr="00DA6B3F">
              <w:rPr>
                <w:rFonts w:ascii="Times New Roman" w:hAnsi="Times New Roman" w:cs="Times New Roman"/>
                <w:sz w:val="24"/>
                <w:szCs w:val="24"/>
              </w:rPr>
              <w:t>četvrti</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sprat</w:t>
            </w:r>
            <w:r w:rsidR="009D2987" w:rsidRPr="00DA6B3F">
              <w:rPr>
                <w:rFonts w:ascii="Times New Roman" w:hAnsi="Times New Roman" w:cs="Times New Roman"/>
                <w:sz w:val="24"/>
                <w:szCs w:val="24"/>
              </w:rPr>
              <w:t xml:space="preserve"> - pisarnica</w:t>
            </w:r>
            <w:r w:rsidR="00790B38" w:rsidRPr="00DA6B3F">
              <w:rPr>
                <w:rFonts w:ascii="Times New Roman" w:hAnsi="Times New Roman" w:cs="Times New Roman"/>
                <w:sz w:val="24"/>
                <w:szCs w:val="24"/>
              </w:rPr>
              <w:t xml:space="preserve">, 11000, </w:t>
            </w:r>
            <w:r w:rsidRPr="00DA6B3F">
              <w:rPr>
                <w:rFonts w:ascii="Times New Roman" w:hAnsi="Times New Roman" w:cs="Times New Roman"/>
                <w:sz w:val="24"/>
                <w:szCs w:val="24"/>
              </w:rPr>
              <w:t>Beograd</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Srbija</w:t>
            </w:r>
            <w:r w:rsidR="008F62E9" w:rsidRPr="00DA6B3F">
              <w:rPr>
                <w:rFonts w:ascii="Times New Roman" w:hAnsi="Times New Roman" w:cs="Times New Roman"/>
                <w:sz w:val="24"/>
                <w:szCs w:val="24"/>
              </w:rPr>
              <w:t>.</w:t>
            </w:r>
          </w:p>
          <w:p w14:paraId="18E0F416" w14:textId="428669D7" w:rsidR="00790B38" w:rsidRPr="00DA6B3F" w:rsidRDefault="00F5074E" w:rsidP="00790B38">
            <w:pPr>
              <w:spacing w:before="60" w:after="60" w:line="240" w:lineRule="auto"/>
              <w:jc w:val="both"/>
              <w:rPr>
                <w:rFonts w:ascii="Times New Roman" w:hAnsi="Times New Roman" w:cs="Times New Roman"/>
                <w:sz w:val="24"/>
                <w:szCs w:val="24"/>
              </w:rPr>
            </w:pPr>
            <w:r w:rsidRPr="00DA6B3F">
              <w:rPr>
                <w:rFonts w:ascii="Times New Roman" w:hAnsi="Times New Roman" w:cs="Times New Roman"/>
                <w:sz w:val="24"/>
                <w:szCs w:val="24"/>
              </w:rPr>
              <w:t>Ukoliko</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se</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ponuda</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dostavlja</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lično</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adresa</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za</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lastRenderedPageBreak/>
              <w:t>dostavljanje</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je</w:t>
            </w:r>
            <w:r w:rsidR="00790B38" w:rsidRPr="00DA6B3F">
              <w:rPr>
                <w:rFonts w:ascii="Times New Roman" w:hAnsi="Times New Roman" w:cs="Times New Roman"/>
                <w:sz w:val="24"/>
                <w:szCs w:val="24"/>
              </w:rPr>
              <w:t xml:space="preserve">: </w:t>
            </w:r>
            <w:r w:rsidR="00D2520C" w:rsidRPr="00DA6B3F">
              <w:rPr>
                <w:rFonts w:ascii="Times New Roman" w:eastAsiaTheme="minorEastAsia" w:hAnsi="Times New Roman" w:cs="Times New Roman"/>
                <w:color w:val="auto"/>
                <w:sz w:val="24"/>
                <w:szCs w:val="24"/>
                <w:lang w:val="sr-Latn-CS"/>
              </w:rPr>
              <w:t>Jedinica za upravljanje projektima u javnom sektoru d.o.o. Beograd</w:t>
            </w:r>
            <w:r w:rsidR="00240CE7" w:rsidRPr="00DA6B3F">
              <w:rPr>
                <w:rFonts w:ascii="Times New Roman" w:hAnsi="Times New Roman" w:cs="Times New Roman"/>
                <w:sz w:val="24"/>
                <w:szCs w:val="24"/>
              </w:rPr>
              <w:t xml:space="preserve">, </w:t>
            </w:r>
            <w:r w:rsidRPr="00DA6B3F">
              <w:rPr>
                <w:rFonts w:ascii="Times New Roman" w:hAnsi="Times New Roman" w:cs="Times New Roman"/>
                <w:sz w:val="24"/>
                <w:szCs w:val="24"/>
              </w:rPr>
              <w:t>Veljka</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Dugoševića</w:t>
            </w:r>
            <w:r w:rsidR="00790B38" w:rsidRPr="00DA6B3F">
              <w:rPr>
                <w:rFonts w:ascii="Times New Roman" w:hAnsi="Times New Roman" w:cs="Times New Roman"/>
                <w:sz w:val="24"/>
                <w:szCs w:val="24"/>
              </w:rPr>
              <w:t xml:space="preserve"> 54, </w:t>
            </w:r>
            <w:r w:rsidR="007F71BC" w:rsidRPr="00DA6B3F">
              <w:rPr>
                <w:rFonts w:ascii="Times New Roman" w:hAnsi="Times New Roman" w:cs="Times New Roman"/>
                <w:sz w:val="24"/>
                <w:szCs w:val="24"/>
              </w:rPr>
              <w:t>četvrti</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sprat</w:t>
            </w:r>
            <w:r w:rsidR="009D2987" w:rsidRPr="00DA6B3F">
              <w:rPr>
                <w:rFonts w:ascii="Times New Roman" w:hAnsi="Times New Roman" w:cs="Times New Roman"/>
                <w:sz w:val="24"/>
                <w:szCs w:val="24"/>
              </w:rPr>
              <w:t xml:space="preserve"> - pisarnica</w:t>
            </w:r>
            <w:r w:rsidR="00790B38" w:rsidRPr="00DA6B3F">
              <w:rPr>
                <w:rFonts w:ascii="Times New Roman" w:hAnsi="Times New Roman" w:cs="Times New Roman"/>
                <w:sz w:val="24"/>
                <w:szCs w:val="24"/>
              </w:rPr>
              <w:t xml:space="preserve">, 11000, </w:t>
            </w:r>
            <w:r w:rsidRPr="00DA6B3F">
              <w:rPr>
                <w:rFonts w:ascii="Times New Roman" w:hAnsi="Times New Roman" w:cs="Times New Roman"/>
                <w:sz w:val="24"/>
                <w:szCs w:val="24"/>
              </w:rPr>
              <w:t>Beograd</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Srbija</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u</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periodu</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od</w:t>
            </w:r>
            <w:r w:rsidR="00790B38" w:rsidRPr="00DA6B3F">
              <w:rPr>
                <w:rFonts w:ascii="Times New Roman" w:hAnsi="Times New Roman" w:cs="Times New Roman"/>
                <w:sz w:val="24"/>
                <w:szCs w:val="24"/>
              </w:rPr>
              <w:t xml:space="preserve"> 09:00</w:t>
            </w:r>
            <w:r w:rsidR="00790B38" w:rsidRPr="00DA6B3F">
              <w:rPr>
                <w:rFonts w:ascii="Times New Roman" w:hAnsi="Times New Roman" w:cs="Times New Roman"/>
                <w:sz w:val="24"/>
                <w:szCs w:val="24"/>
                <w:lang w:val="en-US"/>
              </w:rPr>
              <w:t>h</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do</w:t>
            </w:r>
            <w:r w:rsidR="00790B38" w:rsidRPr="00DA6B3F">
              <w:rPr>
                <w:rFonts w:ascii="Times New Roman" w:hAnsi="Times New Roman" w:cs="Times New Roman"/>
                <w:sz w:val="24"/>
                <w:szCs w:val="24"/>
              </w:rPr>
              <w:t xml:space="preserve"> 15:30</w:t>
            </w:r>
            <w:r w:rsidR="00790B38" w:rsidRPr="00DA6B3F">
              <w:rPr>
                <w:rFonts w:ascii="Times New Roman" w:hAnsi="Times New Roman" w:cs="Times New Roman"/>
                <w:sz w:val="24"/>
                <w:szCs w:val="24"/>
                <w:lang w:val="en-US"/>
              </w:rPr>
              <w:t>h</w:t>
            </w:r>
            <w:r w:rsidR="00790B38" w:rsidRPr="00DA6B3F">
              <w:rPr>
                <w:rFonts w:ascii="Times New Roman" w:hAnsi="Times New Roman" w:cs="Times New Roman"/>
                <w:sz w:val="24"/>
                <w:szCs w:val="24"/>
              </w:rPr>
              <w:t>.</w:t>
            </w:r>
          </w:p>
          <w:p w14:paraId="09009E00" w14:textId="4A714029" w:rsidR="002D6E25" w:rsidRPr="00DA6B3F" w:rsidRDefault="00F5074E" w:rsidP="001F42DB">
            <w:pPr>
              <w:spacing w:before="60" w:after="60" w:line="240" w:lineRule="auto"/>
              <w:jc w:val="both"/>
              <w:rPr>
                <w:rFonts w:ascii="Times New Roman" w:hAnsi="Times New Roman" w:cs="Times New Roman"/>
                <w:sz w:val="24"/>
                <w:szCs w:val="24"/>
              </w:rPr>
            </w:pPr>
            <w:r w:rsidRPr="00DA6B3F">
              <w:rPr>
                <w:rFonts w:ascii="Times New Roman" w:hAnsi="Times New Roman" w:cs="Times New Roman"/>
                <w:sz w:val="24"/>
                <w:szCs w:val="24"/>
              </w:rPr>
              <w:t>Krajnji</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rok</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za</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dostavljanje</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ponuda</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je</w:t>
            </w:r>
            <w:r w:rsidR="00790B38" w:rsidRPr="00DA6B3F">
              <w:rPr>
                <w:rFonts w:ascii="Times New Roman" w:hAnsi="Times New Roman" w:cs="Times New Roman"/>
                <w:color w:val="auto"/>
                <w:sz w:val="24"/>
                <w:szCs w:val="24"/>
              </w:rPr>
              <w:t>:</w:t>
            </w:r>
            <w:r w:rsidR="004D5FE8">
              <w:rPr>
                <w:rFonts w:ascii="Times New Roman" w:hAnsi="Times New Roman" w:cs="Times New Roman"/>
                <w:color w:val="auto"/>
                <w:sz w:val="24"/>
                <w:szCs w:val="24"/>
                <w:lang w:val="sr-Latn-CS"/>
              </w:rPr>
              <w:t xml:space="preserve"> 21. jul </w:t>
            </w:r>
            <w:r w:rsidR="001F42DB" w:rsidRPr="00DA6B3F">
              <w:rPr>
                <w:rFonts w:ascii="Times New Roman" w:hAnsi="Times New Roman" w:cs="Times New Roman"/>
                <w:color w:val="auto"/>
                <w:sz w:val="24"/>
                <w:szCs w:val="24"/>
              </w:rPr>
              <w:t>201</w:t>
            </w:r>
            <w:r w:rsidR="001F42DB" w:rsidRPr="00DA6B3F">
              <w:rPr>
                <w:rFonts w:ascii="Times New Roman" w:hAnsi="Times New Roman" w:cs="Times New Roman"/>
                <w:color w:val="auto"/>
                <w:sz w:val="24"/>
                <w:szCs w:val="24"/>
                <w:lang w:val="sr-Latn-CS"/>
              </w:rPr>
              <w:t>7</w:t>
            </w:r>
            <w:r w:rsidR="00240CE7" w:rsidRPr="00DA6B3F">
              <w:rPr>
                <w:rFonts w:ascii="Times New Roman" w:hAnsi="Times New Roman" w:cs="Times New Roman"/>
                <w:sz w:val="24"/>
                <w:szCs w:val="24"/>
              </w:rPr>
              <w:t>.</w:t>
            </w:r>
            <w:r w:rsidR="007F71BC" w:rsidRPr="00DA6B3F">
              <w:rPr>
                <w:rFonts w:ascii="Times New Roman" w:hAnsi="Times New Roman" w:cs="Times New Roman"/>
                <w:sz w:val="24"/>
                <w:szCs w:val="24"/>
              </w:rPr>
              <w:t xml:space="preserve"> </w:t>
            </w:r>
            <w:r w:rsidRPr="00DA6B3F">
              <w:rPr>
                <w:rFonts w:ascii="Times New Roman" w:hAnsi="Times New Roman" w:cs="Times New Roman"/>
                <w:sz w:val="24"/>
                <w:szCs w:val="24"/>
              </w:rPr>
              <w:t>godine</w:t>
            </w:r>
            <w:r w:rsidR="00790B38" w:rsidRPr="00DA6B3F">
              <w:rPr>
                <w:rFonts w:ascii="Times New Roman" w:hAnsi="Times New Roman" w:cs="Times New Roman"/>
                <w:sz w:val="24"/>
                <w:szCs w:val="24"/>
              </w:rPr>
              <w:t xml:space="preserve">, </w:t>
            </w:r>
            <w:r w:rsidRPr="00DA6B3F">
              <w:rPr>
                <w:rFonts w:ascii="Times New Roman" w:hAnsi="Times New Roman" w:cs="Times New Roman"/>
                <w:sz w:val="24"/>
                <w:szCs w:val="24"/>
              </w:rPr>
              <w:t>do</w:t>
            </w:r>
            <w:r w:rsidR="00790B38" w:rsidRPr="00DA6B3F">
              <w:rPr>
                <w:rFonts w:ascii="Times New Roman" w:hAnsi="Times New Roman" w:cs="Times New Roman"/>
                <w:sz w:val="24"/>
                <w:szCs w:val="24"/>
              </w:rPr>
              <w:t xml:space="preserve"> 12:00</w:t>
            </w:r>
            <w:r w:rsidR="00790B38" w:rsidRPr="00DA6B3F">
              <w:rPr>
                <w:rFonts w:ascii="Times New Roman" w:hAnsi="Times New Roman" w:cs="Times New Roman"/>
                <w:sz w:val="24"/>
                <w:szCs w:val="24"/>
                <w:lang w:val="en-US"/>
              </w:rPr>
              <w:t>h</w:t>
            </w:r>
          </w:p>
        </w:tc>
      </w:tr>
      <w:tr w:rsidR="002D6E25" w:rsidRPr="00DA6B3F" w14:paraId="42C1A1BB" w14:textId="77777777" w:rsidTr="009C6217">
        <w:trPr>
          <w:trHeight w:val="218"/>
        </w:trPr>
        <w:tc>
          <w:tcPr>
            <w:tcW w:w="383" w:type="pct"/>
            <w:shd w:val="clear" w:color="auto" w:fill="FFFFFF"/>
            <w:tcMar>
              <w:top w:w="0" w:type="dxa"/>
              <w:left w:w="108" w:type="dxa"/>
              <w:bottom w:w="0" w:type="dxa"/>
              <w:right w:w="108" w:type="dxa"/>
            </w:tcMar>
          </w:tcPr>
          <w:p w14:paraId="3C784C13" w14:textId="77777777" w:rsidR="002D6E25" w:rsidRPr="00DA6B3F"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6E0B4E24" w14:textId="77777777" w:rsidR="002D6E25" w:rsidRPr="00DA6B3F" w:rsidRDefault="002D6E25" w:rsidP="009C6217">
            <w:pPr>
              <w:spacing w:before="60" w:after="60" w:line="240" w:lineRule="auto"/>
              <w:rPr>
                <w:rFonts w:ascii="Times New Roman" w:hAnsi="Times New Roman" w:cs="Times New Roman"/>
                <w:sz w:val="24"/>
                <w:szCs w:val="24"/>
              </w:rPr>
            </w:pPr>
          </w:p>
        </w:tc>
      </w:tr>
      <w:tr w:rsidR="002D6E25" w:rsidRPr="00DA6B3F" w14:paraId="1231EC0F" w14:textId="77777777" w:rsidTr="00421C6D">
        <w:trPr>
          <w:trHeight w:val="699"/>
        </w:trPr>
        <w:tc>
          <w:tcPr>
            <w:tcW w:w="383" w:type="pct"/>
            <w:shd w:val="clear" w:color="auto" w:fill="FFFFFF"/>
            <w:tcMar>
              <w:top w:w="0" w:type="dxa"/>
              <w:left w:w="108" w:type="dxa"/>
              <w:bottom w:w="0" w:type="dxa"/>
              <w:right w:w="108" w:type="dxa"/>
            </w:tcMar>
          </w:tcPr>
          <w:p w14:paraId="19665715" w14:textId="77777777" w:rsidR="002D6E25" w:rsidRPr="00DA6B3F"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0627736F" w14:textId="77777777" w:rsidR="002D6E25" w:rsidRPr="00DA6B3F" w:rsidRDefault="00F5074E" w:rsidP="002F55CB">
            <w:pPr>
              <w:spacing w:before="60" w:after="60" w:line="240" w:lineRule="auto"/>
              <w:rPr>
                <w:rFonts w:ascii="Times New Roman" w:hAnsi="Times New Roman" w:cs="Times New Roman"/>
                <w:sz w:val="24"/>
                <w:szCs w:val="24"/>
              </w:rPr>
            </w:pPr>
            <w:r w:rsidRPr="00DA6B3F">
              <w:rPr>
                <w:rFonts w:ascii="Times New Roman" w:hAnsi="Times New Roman" w:cs="Times New Roman"/>
                <w:sz w:val="24"/>
                <w:szCs w:val="24"/>
              </w:rPr>
              <w:t>Sastanak</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za</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otvaranje</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ponuda</w:t>
            </w:r>
            <w:r w:rsidR="002F55CB" w:rsidRPr="00DA6B3F">
              <w:rPr>
                <w:rFonts w:ascii="Times New Roman" w:hAnsi="Times New Roman" w:cs="Times New Roman"/>
                <w:sz w:val="24"/>
                <w:szCs w:val="24"/>
              </w:rPr>
              <w:t xml:space="preserve"> – </w:t>
            </w:r>
            <w:r w:rsidRPr="00DA6B3F">
              <w:rPr>
                <w:rFonts w:ascii="Times New Roman" w:hAnsi="Times New Roman" w:cs="Times New Roman"/>
                <w:sz w:val="24"/>
                <w:szCs w:val="24"/>
              </w:rPr>
              <w:t>datum</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vreme</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i</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mesto</w:t>
            </w:r>
            <w:r w:rsidR="004511C2" w:rsidRPr="00DA6B3F">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328422A5" w14:textId="436F4463" w:rsidR="002D6E25" w:rsidRPr="00DA6B3F" w:rsidRDefault="00F5074E" w:rsidP="007F71BC">
            <w:pPr>
              <w:spacing w:before="60" w:after="60" w:line="240" w:lineRule="auto"/>
              <w:jc w:val="both"/>
              <w:rPr>
                <w:rFonts w:ascii="Times New Roman" w:hAnsi="Times New Roman" w:cs="Times New Roman"/>
                <w:sz w:val="24"/>
                <w:szCs w:val="24"/>
              </w:rPr>
            </w:pPr>
            <w:r w:rsidRPr="00DA6B3F">
              <w:rPr>
                <w:rFonts w:ascii="Times New Roman" w:hAnsi="Times New Roman" w:cs="Times New Roman"/>
                <w:sz w:val="24"/>
                <w:szCs w:val="24"/>
              </w:rPr>
              <w:t>Otvaranje</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ponuda</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održaće</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se</w:t>
            </w:r>
            <w:r w:rsidR="00042FA2" w:rsidRPr="00DA6B3F">
              <w:rPr>
                <w:rFonts w:ascii="Times New Roman" w:hAnsi="Times New Roman" w:cs="Times New Roman"/>
                <w:sz w:val="24"/>
                <w:szCs w:val="24"/>
              </w:rPr>
              <w:t xml:space="preserve"> </w:t>
            </w:r>
            <w:r w:rsidR="001F42DB" w:rsidRPr="00DA6B3F">
              <w:rPr>
                <w:rFonts w:ascii="Times New Roman" w:hAnsi="Times New Roman" w:cs="Times New Roman"/>
                <w:sz w:val="24"/>
                <w:szCs w:val="24"/>
              </w:rPr>
              <w:t>:</w:t>
            </w:r>
            <w:r w:rsidR="004D5FE8">
              <w:rPr>
                <w:rFonts w:ascii="Times New Roman" w:hAnsi="Times New Roman" w:cs="Times New Roman"/>
                <w:sz w:val="24"/>
                <w:szCs w:val="24"/>
                <w:lang w:val="sr-Latn-CS"/>
              </w:rPr>
              <w:t xml:space="preserve"> 21. jula </w:t>
            </w:r>
            <w:bookmarkStart w:id="0" w:name="_GoBack"/>
            <w:bookmarkEnd w:id="0"/>
            <w:r w:rsidR="001F42DB" w:rsidRPr="00DA6B3F">
              <w:rPr>
                <w:rFonts w:ascii="Times New Roman" w:hAnsi="Times New Roman" w:cs="Times New Roman"/>
                <w:sz w:val="24"/>
                <w:szCs w:val="24"/>
              </w:rPr>
              <w:t>201</w:t>
            </w:r>
            <w:r w:rsidR="001F42DB" w:rsidRPr="00DA6B3F">
              <w:rPr>
                <w:rFonts w:ascii="Times New Roman" w:hAnsi="Times New Roman" w:cs="Times New Roman"/>
                <w:sz w:val="24"/>
                <w:szCs w:val="24"/>
                <w:lang w:val="sr-Latn-CS"/>
              </w:rPr>
              <w:t>7</w:t>
            </w:r>
            <w:r w:rsidR="00240CE7" w:rsidRPr="00DA6B3F">
              <w:rPr>
                <w:rFonts w:ascii="Times New Roman" w:hAnsi="Times New Roman" w:cs="Times New Roman"/>
                <w:sz w:val="24"/>
                <w:szCs w:val="24"/>
              </w:rPr>
              <w:t>.</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godine</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u</w:t>
            </w:r>
            <w:r w:rsidR="008F62E9" w:rsidRPr="00DA6B3F">
              <w:rPr>
                <w:rFonts w:ascii="Times New Roman" w:hAnsi="Times New Roman" w:cs="Times New Roman"/>
                <w:sz w:val="24"/>
                <w:szCs w:val="24"/>
              </w:rPr>
              <w:t xml:space="preserve"> 12:30, </w:t>
            </w:r>
            <w:r w:rsidRPr="00DA6B3F">
              <w:rPr>
                <w:rFonts w:ascii="Times New Roman" w:hAnsi="Times New Roman" w:cs="Times New Roman"/>
                <w:sz w:val="24"/>
                <w:szCs w:val="24"/>
              </w:rPr>
              <w:t>u</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prostorijama</w:t>
            </w:r>
            <w:r w:rsidR="008F62E9" w:rsidRPr="00DA6B3F">
              <w:rPr>
                <w:rFonts w:ascii="Times New Roman" w:hAnsi="Times New Roman" w:cs="Times New Roman"/>
                <w:sz w:val="24"/>
                <w:szCs w:val="24"/>
              </w:rPr>
              <w:t xml:space="preserve"> </w:t>
            </w:r>
            <w:r w:rsidR="00D2520C" w:rsidRPr="00DA6B3F">
              <w:rPr>
                <w:rFonts w:ascii="Times New Roman" w:eastAsiaTheme="minorEastAsia" w:hAnsi="Times New Roman" w:cs="Times New Roman"/>
                <w:color w:val="auto"/>
                <w:sz w:val="24"/>
                <w:szCs w:val="24"/>
                <w:lang w:val="sr-Latn-CS"/>
              </w:rPr>
              <w:t>Jedinica za upravljanje projektima u javnom sektoru d.o.o. Beograd</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Veljka</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Dugoševića</w:t>
            </w:r>
            <w:r w:rsidR="008F62E9" w:rsidRPr="00DA6B3F">
              <w:rPr>
                <w:rFonts w:ascii="Times New Roman" w:hAnsi="Times New Roman" w:cs="Times New Roman"/>
                <w:sz w:val="24"/>
                <w:szCs w:val="24"/>
              </w:rPr>
              <w:t xml:space="preserve"> 54, </w:t>
            </w:r>
            <w:r w:rsidR="007B61F7" w:rsidRPr="00DA6B3F">
              <w:rPr>
                <w:rFonts w:ascii="Times New Roman" w:hAnsi="Times New Roman" w:cs="Times New Roman"/>
                <w:sz w:val="24"/>
                <w:szCs w:val="24"/>
              </w:rPr>
              <w:t>prvi</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sprat</w:t>
            </w:r>
            <w:r w:rsidR="008F62E9" w:rsidRPr="00DA6B3F">
              <w:rPr>
                <w:rFonts w:ascii="Times New Roman" w:hAnsi="Times New Roman" w:cs="Times New Roman"/>
                <w:sz w:val="24"/>
                <w:szCs w:val="24"/>
              </w:rPr>
              <w:t xml:space="preserve">, </w:t>
            </w:r>
            <w:r w:rsidRPr="00DA6B3F">
              <w:rPr>
                <w:rFonts w:ascii="Times New Roman" w:hAnsi="Times New Roman" w:cs="Times New Roman"/>
                <w:sz w:val="24"/>
                <w:szCs w:val="24"/>
              </w:rPr>
              <w:t>Beograd</w:t>
            </w:r>
            <w:r w:rsidR="00E736BD" w:rsidRPr="00DA6B3F">
              <w:rPr>
                <w:rFonts w:ascii="Times New Roman" w:hAnsi="Times New Roman" w:cs="Times New Roman"/>
                <w:sz w:val="24"/>
                <w:szCs w:val="24"/>
              </w:rPr>
              <w:t>.</w:t>
            </w:r>
          </w:p>
        </w:tc>
      </w:tr>
      <w:tr w:rsidR="002D6E25" w:rsidRPr="00DA6B3F" w14:paraId="42E7EBD8" w14:textId="77777777" w:rsidTr="009C6217">
        <w:trPr>
          <w:trHeight w:val="232"/>
        </w:trPr>
        <w:tc>
          <w:tcPr>
            <w:tcW w:w="383" w:type="pct"/>
            <w:shd w:val="clear" w:color="auto" w:fill="FFFFFF"/>
            <w:tcMar>
              <w:top w:w="0" w:type="dxa"/>
              <w:left w:w="108" w:type="dxa"/>
              <w:bottom w:w="0" w:type="dxa"/>
              <w:right w:w="108" w:type="dxa"/>
            </w:tcMar>
          </w:tcPr>
          <w:p w14:paraId="2039C64E" w14:textId="77777777" w:rsidR="002D6E25" w:rsidRPr="00DA6B3F"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6379636B" w14:textId="77777777" w:rsidR="002D6E25" w:rsidRPr="00DA6B3F" w:rsidRDefault="002D6E25" w:rsidP="009C6217">
            <w:pPr>
              <w:spacing w:before="60" w:after="60" w:line="240" w:lineRule="auto"/>
              <w:rPr>
                <w:rFonts w:ascii="Times New Roman" w:hAnsi="Times New Roman" w:cs="Times New Roman"/>
                <w:sz w:val="24"/>
                <w:szCs w:val="24"/>
              </w:rPr>
            </w:pPr>
          </w:p>
        </w:tc>
      </w:tr>
      <w:tr w:rsidR="002D6E25" w:rsidRPr="00DA6B3F" w14:paraId="5DF07D39" w14:textId="77777777" w:rsidTr="009C6217">
        <w:trPr>
          <w:trHeight w:val="696"/>
        </w:trPr>
        <w:tc>
          <w:tcPr>
            <w:tcW w:w="383" w:type="pct"/>
            <w:shd w:val="clear" w:color="auto" w:fill="FFFFFF"/>
            <w:tcMar>
              <w:top w:w="0" w:type="dxa"/>
              <w:left w:w="108" w:type="dxa"/>
              <w:bottom w:w="0" w:type="dxa"/>
              <w:right w:w="108" w:type="dxa"/>
            </w:tcMar>
          </w:tcPr>
          <w:p w14:paraId="564F8D7E" w14:textId="77777777" w:rsidR="002D6E25" w:rsidRPr="00DA6B3F"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44F3F450" w14:textId="77777777" w:rsidR="002D6E25" w:rsidRPr="00DA6B3F" w:rsidRDefault="00F5074E" w:rsidP="002F55CB">
            <w:pPr>
              <w:spacing w:before="60" w:after="60" w:line="240" w:lineRule="auto"/>
              <w:rPr>
                <w:rFonts w:ascii="Times New Roman" w:hAnsi="Times New Roman" w:cs="Times New Roman"/>
                <w:sz w:val="24"/>
                <w:szCs w:val="24"/>
              </w:rPr>
            </w:pPr>
            <w:r w:rsidRPr="00DA6B3F">
              <w:rPr>
                <w:rFonts w:ascii="Times New Roman" w:hAnsi="Times New Roman" w:cs="Times New Roman"/>
                <w:sz w:val="24"/>
                <w:szCs w:val="24"/>
              </w:rPr>
              <w:t>Uslovi</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za</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učešće</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na</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sastanku</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za</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otvaranje</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ponuda</w:t>
            </w:r>
            <w:r w:rsidR="004511C2" w:rsidRPr="00DA6B3F">
              <w:rPr>
                <w:rFonts w:ascii="Times New Roman" w:hAnsi="Times New Roman" w:cs="Times New Roman"/>
                <w:sz w:val="24"/>
                <w:szCs w:val="24"/>
              </w:rPr>
              <w:t>:</w:t>
            </w:r>
          </w:p>
        </w:tc>
      </w:tr>
      <w:tr w:rsidR="002D6E25" w:rsidRPr="00DA6B3F" w14:paraId="1286D067" w14:textId="77777777" w:rsidTr="00EB693E">
        <w:trPr>
          <w:trHeight w:val="1450"/>
        </w:trPr>
        <w:tc>
          <w:tcPr>
            <w:tcW w:w="383" w:type="pct"/>
            <w:shd w:val="clear" w:color="auto" w:fill="FFFFFF"/>
            <w:tcMar>
              <w:top w:w="0" w:type="dxa"/>
              <w:left w:w="108" w:type="dxa"/>
              <w:bottom w:w="0" w:type="dxa"/>
              <w:right w:w="108" w:type="dxa"/>
            </w:tcMar>
          </w:tcPr>
          <w:p w14:paraId="6E00DD94" w14:textId="77777777" w:rsidR="002D6E25" w:rsidRPr="00DA6B3F"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324169DB" w14:textId="77777777" w:rsidR="002D6E25" w:rsidRPr="00DA6B3F" w:rsidRDefault="001F42DB" w:rsidP="00EB693E">
            <w:pPr>
              <w:spacing w:before="60" w:after="60" w:line="240" w:lineRule="auto"/>
              <w:jc w:val="both"/>
              <w:rPr>
                <w:rFonts w:ascii="Times New Roman" w:hAnsi="Times New Roman" w:cs="Times New Roman"/>
                <w:sz w:val="24"/>
                <w:szCs w:val="24"/>
              </w:rPr>
            </w:pPr>
            <w:r w:rsidRPr="00DA6B3F">
              <w:rPr>
                <w:rFonts w:ascii="Times New Roman" w:hAnsi="Times New Roman" w:cs="Times New Roman"/>
                <w:sz w:val="24"/>
                <w:szCs w:val="24"/>
              </w:rPr>
              <w:t>Naručilac će ponude otvarati</w:t>
            </w:r>
            <w:r w:rsidRPr="00DA6B3F">
              <w:rPr>
                <w:rFonts w:ascii="Times New Roman" w:hAnsi="Times New Roman" w:cs="Times New Roman"/>
                <w:sz w:val="24"/>
                <w:szCs w:val="24"/>
                <w:lang w:val="sr-Latn-CS"/>
              </w:rPr>
              <w:t xml:space="preserve"> javno i otvaranju može prisustvovati svako zainteresovano lice, </w:t>
            </w:r>
            <w:r w:rsidRPr="00DA6B3F">
              <w:rPr>
                <w:rFonts w:ascii="Times New Roman" w:hAnsi="Times New Roman" w:cs="Times New Roman"/>
                <w:sz w:val="24"/>
                <w:szCs w:val="24"/>
              </w:rPr>
              <w:t xml:space="preserve">u vreme i na mestu određenom u </w:t>
            </w:r>
            <w:r w:rsidRPr="00DA6B3F">
              <w:rPr>
                <w:rFonts w:ascii="Times New Roman" w:hAnsi="Times New Roman" w:cs="Times New Roman"/>
                <w:sz w:val="24"/>
                <w:szCs w:val="24"/>
                <w:lang w:val="sr-Latn-CS"/>
              </w:rPr>
              <w:t>ovom Obaveštenju</w:t>
            </w:r>
            <w:r w:rsidRPr="00DA6B3F">
              <w:rPr>
                <w:rFonts w:ascii="Times New Roman" w:hAnsi="Times New Roman" w:cs="Times New Roman"/>
                <w:sz w:val="24"/>
                <w:szCs w:val="24"/>
              </w:rPr>
              <w:t xml:space="preserve">  i u Uputstvu ponuđačima.  </w:t>
            </w:r>
            <w:r w:rsidRPr="00DA6B3F">
              <w:rPr>
                <w:rFonts w:ascii="Times New Roman" w:hAnsi="Times New Roman" w:cs="Times New Roman"/>
                <w:sz w:val="24"/>
                <w:szCs w:val="24"/>
                <w:lang w:val="sr-Latn-CS"/>
              </w:rPr>
              <w:t xml:space="preserve">U postupku otvaranja ponuda mogu aktivno učestvovati samo ovlašćeni predstavnici ponuđača, u kom slučaju su </w:t>
            </w:r>
            <w:r w:rsidRPr="00DA6B3F">
              <w:rPr>
                <w:rFonts w:ascii="Times New Roman" w:hAnsi="Times New Roman" w:cs="Times New Roman"/>
                <w:sz w:val="24"/>
                <w:szCs w:val="24"/>
              </w:rPr>
              <w:t>u obavezi su da dostave ovlašćenje za prisustvovanje i potpisivanje,</w:t>
            </w:r>
            <w:r w:rsidRPr="00DA6B3F">
              <w:rPr>
                <w:rFonts w:ascii="Times New Roman" w:hAnsi="Times New Roman" w:cs="Times New Roman"/>
                <w:sz w:val="24"/>
                <w:szCs w:val="24"/>
                <w:lang w:val="sr-Latn-CS"/>
              </w:rPr>
              <w:t xml:space="preserve"> </w:t>
            </w:r>
            <w:r w:rsidRPr="00DA6B3F">
              <w:rPr>
                <w:rFonts w:ascii="Times New Roman" w:hAnsi="Times New Roman" w:cs="Times New Roman"/>
                <w:sz w:val="24"/>
                <w:szCs w:val="24"/>
              </w:rPr>
              <w:t>kao i da potpišu dokument kojim potvrđuju svoje prisustvo.</w:t>
            </w:r>
          </w:p>
        </w:tc>
      </w:tr>
      <w:tr w:rsidR="002D6E25" w:rsidRPr="00DA6B3F" w14:paraId="11B0FD98" w14:textId="77777777" w:rsidTr="009C6217">
        <w:trPr>
          <w:trHeight w:val="238"/>
        </w:trPr>
        <w:tc>
          <w:tcPr>
            <w:tcW w:w="383" w:type="pct"/>
            <w:shd w:val="clear" w:color="auto" w:fill="FFFFFF"/>
            <w:tcMar>
              <w:top w:w="0" w:type="dxa"/>
              <w:left w:w="108" w:type="dxa"/>
              <w:bottom w:w="0" w:type="dxa"/>
              <w:right w:w="108" w:type="dxa"/>
            </w:tcMar>
          </w:tcPr>
          <w:p w14:paraId="58F5AABA" w14:textId="77777777" w:rsidR="002D6E25" w:rsidRPr="00DA6B3F"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63A37AF5" w14:textId="77777777" w:rsidR="002D6E25" w:rsidRPr="00DA6B3F" w:rsidRDefault="002D6E25" w:rsidP="009C6217">
            <w:pPr>
              <w:spacing w:before="60" w:after="60" w:line="240" w:lineRule="auto"/>
              <w:rPr>
                <w:rFonts w:ascii="Times New Roman" w:hAnsi="Times New Roman" w:cs="Times New Roman"/>
                <w:sz w:val="24"/>
                <w:szCs w:val="24"/>
              </w:rPr>
            </w:pPr>
          </w:p>
        </w:tc>
      </w:tr>
      <w:tr w:rsidR="002D6E25" w:rsidRPr="00DA6B3F" w14:paraId="024EBFC7" w14:textId="77777777" w:rsidTr="00421C6D">
        <w:trPr>
          <w:trHeight w:val="699"/>
        </w:trPr>
        <w:tc>
          <w:tcPr>
            <w:tcW w:w="383" w:type="pct"/>
            <w:shd w:val="clear" w:color="auto" w:fill="FFFFFF"/>
            <w:tcMar>
              <w:top w:w="0" w:type="dxa"/>
              <w:left w:w="108" w:type="dxa"/>
              <w:bottom w:w="0" w:type="dxa"/>
              <w:right w:w="108" w:type="dxa"/>
            </w:tcMar>
          </w:tcPr>
          <w:p w14:paraId="4DFD7BF9" w14:textId="77777777" w:rsidR="002D6E25" w:rsidRPr="00DA6B3F"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1089CB70" w14:textId="77777777" w:rsidR="002D6E25" w:rsidRPr="00DA6B3F" w:rsidRDefault="00F5074E" w:rsidP="002F55CB">
            <w:pPr>
              <w:spacing w:before="60" w:after="60" w:line="240" w:lineRule="auto"/>
              <w:rPr>
                <w:rFonts w:ascii="Times New Roman" w:hAnsi="Times New Roman" w:cs="Times New Roman"/>
                <w:sz w:val="24"/>
                <w:szCs w:val="24"/>
              </w:rPr>
            </w:pPr>
            <w:r w:rsidRPr="00DA6B3F">
              <w:rPr>
                <w:rFonts w:ascii="Times New Roman" w:hAnsi="Times New Roman" w:cs="Times New Roman"/>
                <w:sz w:val="24"/>
                <w:szCs w:val="24"/>
              </w:rPr>
              <w:t>Rok</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za</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donošenje</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odluke</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o</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dodeli</w:t>
            </w:r>
            <w:r w:rsidR="002F55CB" w:rsidRPr="00DA6B3F">
              <w:rPr>
                <w:rFonts w:ascii="Times New Roman" w:hAnsi="Times New Roman" w:cs="Times New Roman"/>
                <w:sz w:val="24"/>
                <w:szCs w:val="24"/>
              </w:rPr>
              <w:t xml:space="preserve"> </w:t>
            </w:r>
            <w:r w:rsidRPr="00DA6B3F">
              <w:rPr>
                <w:rFonts w:ascii="Times New Roman" w:hAnsi="Times New Roman" w:cs="Times New Roman"/>
                <w:sz w:val="24"/>
                <w:szCs w:val="24"/>
              </w:rPr>
              <w:t>ugovora</w:t>
            </w:r>
            <w:r w:rsidR="004511C2" w:rsidRPr="00DA6B3F">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114E4236" w14:textId="77777777" w:rsidR="002D6E25" w:rsidRPr="00DA6B3F" w:rsidRDefault="00D40491" w:rsidP="009C6217">
            <w:pPr>
              <w:spacing w:before="60" w:after="60" w:line="240" w:lineRule="auto"/>
              <w:rPr>
                <w:rFonts w:ascii="Times New Roman" w:hAnsi="Times New Roman" w:cs="Times New Roman"/>
                <w:sz w:val="24"/>
                <w:szCs w:val="24"/>
                <w:lang w:val="sr-Latn-CS"/>
              </w:rPr>
            </w:pPr>
            <w:r w:rsidRPr="00DA6B3F">
              <w:rPr>
                <w:rFonts w:ascii="Times New Roman" w:hAnsi="Times New Roman" w:cs="Times New Roman"/>
                <w:sz w:val="24"/>
                <w:szCs w:val="24"/>
                <w:lang w:val="sr-Latn-CS"/>
              </w:rPr>
              <w:t xml:space="preserve">Najkasnije </w:t>
            </w:r>
            <w:r w:rsidR="001F42DB" w:rsidRPr="00DA6B3F">
              <w:rPr>
                <w:rFonts w:ascii="Times New Roman" w:hAnsi="Times New Roman" w:cs="Times New Roman"/>
                <w:sz w:val="24"/>
                <w:szCs w:val="24"/>
                <w:lang w:val="sr-Latn-CS"/>
              </w:rPr>
              <w:t>6</w:t>
            </w:r>
            <w:r w:rsidRPr="00DA6B3F">
              <w:rPr>
                <w:rFonts w:ascii="Times New Roman" w:hAnsi="Times New Roman" w:cs="Times New Roman"/>
                <w:sz w:val="24"/>
                <w:szCs w:val="24"/>
                <w:lang w:val="sr-Latn-CS"/>
              </w:rPr>
              <w:t>0 dana od isteka roka za podnošenje ponuda</w:t>
            </w:r>
          </w:p>
        </w:tc>
      </w:tr>
      <w:tr w:rsidR="002D6E25" w:rsidRPr="00DA6B3F" w14:paraId="144FADAE" w14:textId="77777777" w:rsidTr="009C6217">
        <w:trPr>
          <w:trHeight w:val="238"/>
        </w:trPr>
        <w:tc>
          <w:tcPr>
            <w:tcW w:w="383" w:type="pct"/>
            <w:shd w:val="clear" w:color="auto" w:fill="FFFFFF"/>
            <w:tcMar>
              <w:top w:w="0" w:type="dxa"/>
              <w:left w:w="108" w:type="dxa"/>
              <w:bottom w:w="0" w:type="dxa"/>
              <w:right w:w="108" w:type="dxa"/>
            </w:tcMar>
          </w:tcPr>
          <w:p w14:paraId="221FE493" w14:textId="77777777" w:rsidR="002D6E25" w:rsidRPr="00DA6B3F"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3C90A67C" w14:textId="77777777" w:rsidR="002D6E25" w:rsidRPr="00DA6B3F" w:rsidRDefault="002D6E25" w:rsidP="009C6217">
            <w:pPr>
              <w:spacing w:before="60" w:after="60" w:line="240" w:lineRule="auto"/>
              <w:rPr>
                <w:rFonts w:ascii="Times New Roman" w:hAnsi="Times New Roman" w:cs="Times New Roman"/>
                <w:sz w:val="24"/>
                <w:szCs w:val="24"/>
              </w:rPr>
            </w:pPr>
          </w:p>
        </w:tc>
      </w:tr>
      <w:tr w:rsidR="00083F35" w:rsidRPr="00DA6B3F" w14:paraId="5D8F8B0F" w14:textId="77777777" w:rsidTr="00421C6D">
        <w:trPr>
          <w:trHeight w:val="699"/>
        </w:trPr>
        <w:tc>
          <w:tcPr>
            <w:tcW w:w="383" w:type="pct"/>
            <w:shd w:val="clear" w:color="auto" w:fill="FFFFFF"/>
            <w:tcMar>
              <w:top w:w="0" w:type="dxa"/>
              <w:left w:w="108" w:type="dxa"/>
              <w:bottom w:w="0" w:type="dxa"/>
              <w:right w:w="108" w:type="dxa"/>
            </w:tcMar>
          </w:tcPr>
          <w:p w14:paraId="4FC69C64" w14:textId="77777777" w:rsidR="00083F35" w:rsidRPr="00DA6B3F"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116A7A4E" w14:textId="77777777" w:rsidR="00083F35" w:rsidRPr="00DA6B3F" w:rsidRDefault="00F5074E" w:rsidP="009C6217">
            <w:pPr>
              <w:spacing w:before="60" w:after="60" w:line="240" w:lineRule="auto"/>
              <w:rPr>
                <w:rFonts w:ascii="Times New Roman" w:hAnsi="Times New Roman" w:cs="Times New Roman"/>
                <w:sz w:val="24"/>
                <w:szCs w:val="24"/>
              </w:rPr>
            </w:pPr>
            <w:r w:rsidRPr="00DA6B3F">
              <w:rPr>
                <w:rFonts w:ascii="Times New Roman" w:hAnsi="Times New Roman" w:cs="Times New Roman"/>
                <w:sz w:val="24"/>
                <w:szCs w:val="24"/>
              </w:rPr>
              <w:t>Kontakt</w:t>
            </w:r>
            <w:r w:rsidR="00083F35" w:rsidRPr="00DA6B3F">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29CAB9F9" w14:textId="77777777" w:rsidR="0060657F" w:rsidRPr="00DA6B3F" w:rsidRDefault="0060657F" w:rsidP="00E61D65">
            <w:pPr>
              <w:spacing w:before="60" w:after="60" w:line="240" w:lineRule="auto"/>
              <w:rPr>
                <w:rFonts w:ascii="Times New Roman" w:hAnsi="Times New Roman" w:cs="Times New Roman"/>
                <w:sz w:val="24"/>
                <w:szCs w:val="24"/>
              </w:rPr>
            </w:pPr>
            <w:r w:rsidRPr="00DA6B3F">
              <w:rPr>
                <w:rFonts w:ascii="Times New Roman" w:eastAsiaTheme="minorEastAsia" w:hAnsi="Times New Roman" w:cs="Times New Roman"/>
                <w:color w:val="auto"/>
                <w:sz w:val="24"/>
                <w:lang w:val="sr-Latn-CS"/>
              </w:rPr>
              <w:t>Jedinica za upravljanje projektima u javnom sektoru d.o.o. Beograd</w:t>
            </w:r>
            <w:r w:rsidRPr="00DA6B3F">
              <w:rPr>
                <w:rFonts w:ascii="Times New Roman" w:hAnsi="Times New Roman" w:cs="Times New Roman"/>
                <w:sz w:val="24"/>
                <w:szCs w:val="24"/>
              </w:rPr>
              <w:t xml:space="preserve"> </w:t>
            </w:r>
          </w:p>
          <w:p w14:paraId="5EC2111D" w14:textId="614D55DA" w:rsidR="00E61D65" w:rsidRPr="00DA6B3F" w:rsidRDefault="00F5074E" w:rsidP="00E61D65">
            <w:pPr>
              <w:spacing w:before="60" w:after="60" w:line="240" w:lineRule="auto"/>
              <w:rPr>
                <w:rFonts w:ascii="Times New Roman" w:hAnsi="Times New Roman" w:cs="Times New Roman"/>
                <w:sz w:val="24"/>
                <w:szCs w:val="24"/>
              </w:rPr>
            </w:pPr>
            <w:r w:rsidRPr="00DA6B3F">
              <w:rPr>
                <w:rFonts w:ascii="Times New Roman" w:hAnsi="Times New Roman" w:cs="Times New Roman"/>
                <w:sz w:val="24"/>
                <w:szCs w:val="24"/>
              </w:rPr>
              <w:t>S</w:t>
            </w:r>
            <w:r w:rsidR="00A335A3" w:rsidRPr="00DA6B3F">
              <w:rPr>
                <w:rFonts w:ascii="Times New Roman" w:hAnsi="Times New Roman" w:cs="Times New Roman"/>
                <w:sz w:val="24"/>
                <w:szCs w:val="24"/>
              </w:rPr>
              <w:t>ektor</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za</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nabavke</w:t>
            </w:r>
          </w:p>
          <w:p w14:paraId="7AC4B68B" w14:textId="77777777" w:rsidR="00083F35" w:rsidRPr="00DA6B3F" w:rsidRDefault="000502FB" w:rsidP="00E61D65">
            <w:pPr>
              <w:spacing w:before="60" w:after="60" w:line="240" w:lineRule="auto"/>
              <w:rPr>
                <w:rFonts w:ascii="Times New Roman" w:hAnsi="Times New Roman" w:cs="Times New Roman"/>
                <w:lang w:val="sr-Latn-CS"/>
              </w:rPr>
            </w:pPr>
            <w:hyperlink r:id="rId11" w:history="1">
              <w:r w:rsidR="007B61F7" w:rsidRPr="00DA6B3F">
                <w:rPr>
                  <w:rStyle w:val="Hyperlink"/>
                  <w:rFonts w:ascii="Times New Roman" w:hAnsi="Times New Roman" w:cs="Times New Roman"/>
                  <w:sz w:val="24"/>
                  <w:szCs w:val="24"/>
                  <w:lang w:val="sr-Latn-CS"/>
                </w:rPr>
                <w:t>jelena.simic@piu.rs</w:t>
              </w:r>
            </w:hyperlink>
            <w:r w:rsidR="007B61F7" w:rsidRPr="00DA6B3F">
              <w:rPr>
                <w:rFonts w:ascii="Times New Roman" w:hAnsi="Times New Roman" w:cs="Times New Roman"/>
                <w:lang w:val="sr-Latn-CS"/>
              </w:rPr>
              <w:t xml:space="preserve">  </w:t>
            </w:r>
          </w:p>
          <w:p w14:paraId="042F9D0F" w14:textId="5362CCDC" w:rsidR="00F70CFD" w:rsidRPr="00DA6B3F" w:rsidRDefault="000502FB" w:rsidP="00E61D65">
            <w:pPr>
              <w:spacing w:before="60" w:after="60" w:line="240" w:lineRule="auto"/>
              <w:rPr>
                <w:rFonts w:ascii="Times New Roman" w:hAnsi="Times New Roman" w:cs="Times New Roman"/>
                <w:lang w:val="sr-Latn-CS"/>
              </w:rPr>
            </w:pPr>
            <w:hyperlink r:id="rId12" w:history="1">
              <w:r w:rsidR="00F70CFD" w:rsidRPr="00DA6B3F">
                <w:rPr>
                  <w:rStyle w:val="Hyperlink"/>
                  <w:rFonts w:ascii="Times New Roman" w:hAnsi="Times New Roman" w:cs="Times New Roman"/>
                  <w:lang w:val="sr-Latn-CS"/>
                </w:rPr>
                <w:t>sanja.popovic@piu.rs</w:t>
              </w:r>
            </w:hyperlink>
          </w:p>
          <w:p w14:paraId="56177926" w14:textId="008B89BC" w:rsidR="00F70CFD" w:rsidRPr="00DA6B3F" w:rsidRDefault="00F70CFD" w:rsidP="00E61D65">
            <w:pPr>
              <w:spacing w:before="60" w:after="60" w:line="240" w:lineRule="auto"/>
              <w:rPr>
                <w:rFonts w:ascii="Times New Roman" w:hAnsi="Times New Roman" w:cs="Times New Roman"/>
                <w:sz w:val="24"/>
                <w:szCs w:val="24"/>
                <w:lang w:val="en-US"/>
              </w:rPr>
            </w:pPr>
          </w:p>
        </w:tc>
      </w:tr>
      <w:tr w:rsidR="002D6E25" w:rsidRPr="00DA6B3F" w14:paraId="54EA3302" w14:textId="77777777" w:rsidTr="009C6217">
        <w:tc>
          <w:tcPr>
            <w:tcW w:w="383" w:type="pct"/>
            <w:shd w:val="clear" w:color="auto" w:fill="FFFFFF"/>
            <w:tcMar>
              <w:top w:w="0" w:type="dxa"/>
              <w:left w:w="108" w:type="dxa"/>
              <w:bottom w:w="0" w:type="dxa"/>
              <w:right w:w="108" w:type="dxa"/>
            </w:tcMar>
          </w:tcPr>
          <w:p w14:paraId="66D699A3" w14:textId="77777777" w:rsidR="002D6E25" w:rsidRPr="00DA6B3F"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51D0DE3A" w14:textId="77777777" w:rsidR="002D6E25" w:rsidRPr="00DA6B3F" w:rsidRDefault="002D6E25" w:rsidP="009C6217">
            <w:pPr>
              <w:spacing w:before="60" w:after="60" w:line="240" w:lineRule="auto"/>
              <w:rPr>
                <w:rFonts w:ascii="Times New Roman" w:hAnsi="Times New Roman" w:cs="Times New Roman"/>
                <w:sz w:val="24"/>
                <w:szCs w:val="24"/>
              </w:rPr>
            </w:pPr>
          </w:p>
        </w:tc>
      </w:tr>
      <w:tr w:rsidR="002D6E25" w:rsidRPr="00DA6B3F" w14:paraId="0D59FDD5" w14:textId="77777777" w:rsidTr="009C6217">
        <w:tc>
          <w:tcPr>
            <w:tcW w:w="383" w:type="pct"/>
            <w:shd w:val="clear" w:color="auto" w:fill="FFFFFF"/>
            <w:tcMar>
              <w:top w:w="0" w:type="dxa"/>
              <w:left w:w="108" w:type="dxa"/>
              <w:bottom w:w="0" w:type="dxa"/>
              <w:right w:w="108" w:type="dxa"/>
            </w:tcMar>
          </w:tcPr>
          <w:p w14:paraId="37B3A8B2" w14:textId="77777777" w:rsidR="002D6E25" w:rsidRPr="00DA6B3F"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025B8DC2" w14:textId="77777777" w:rsidR="002D6E25" w:rsidRPr="00DA6B3F" w:rsidRDefault="00F5074E" w:rsidP="009C6217">
            <w:pPr>
              <w:spacing w:before="60" w:after="60" w:line="240" w:lineRule="auto"/>
              <w:rPr>
                <w:rFonts w:ascii="Times New Roman" w:hAnsi="Times New Roman" w:cs="Times New Roman"/>
                <w:sz w:val="24"/>
                <w:szCs w:val="24"/>
              </w:rPr>
            </w:pPr>
            <w:r w:rsidRPr="00DA6B3F">
              <w:rPr>
                <w:rFonts w:ascii="Times New Roman" w:hAnsi="Times New Roman" w:cs="Times New Roman"/>
                <w:sz w:val="24"/>
                <w:szCs w:val="24"/>
              </w:rPr>
              <w:t>Ostale</w:t>
            </w:r>
            <w:r w:rsidR="009432B5" w:rsidRPr="00DA6B3F">
              <w:rPr>
                <w:rFonts w:ascii="Times New Roman" w:hAnsi="Times New Roman" w:cs="Times New Roman"/>
                <w:sz w:val="24"/>
                <w:szCs w:val="24"/>
              </w:rPr>
              <w:t xml:space="preserve"> </w:t>
            </w:r>
            <w:r w:rsidRPr="00DA6B3F">
              <w:rPr>
                <w:rFonts w:ascii="Times New Roman" w:hAnsi="Times New Roman" w:cs="Times New Roman"/>
                <w:sz w:val="24"/>
                <w:szCs w:val="24"/>
              </w:rPr>
              <w:t>informacije</w:t>
            </w:r>
            <w:r w:rsidR="004511C2" w:rsidRPr="00DA6B3F">
              <w:rPr>
                <w:rFonts w:ascii="Times New Roman" w:hAnsi="Times New Roman" w:cs="Times New Roman"/>
                <w:sz w:val="24"/>
                <w:szCs w:val="24"/>
              </w:rPr>
              <w:t>:</w:t>
            </w:r>
          </w:p>
        </w:tc>
      </w:tr>
      <w:tr w:rsidR="009B341F" w:rsidRPr="00C13DF4" w14:paraId="4FE5FDCD" w14:textId="77777777" w:rsidTr="00EB693E">
        <w:trPr>
          <w:trHeight w:val="1371"/>
        </w:trPr>
        <w:tc>
          <w:tcPr>
            <w:tcW w:w="383" w:type="pct"/>
            <w:shd w:val="clear" w:color="auto" w:fill="FFFFFF"/>
            <w:tcMar>
              <w:top w:w="0" w:type="dxa"/>
              <w:left w:w="108" w:type="dxa"/>
              <w:bottom w:w="0" w:type="dxa"/>
              <w:right w:w="108" w:type="dxa"/>
            </w:tcMar>
          </w:tcPr>
          <w:p w14:paraId="506B8A41" w14:textId="77777777" w:rsidR="009B341F" w:rsidRPr="00DA6B3F"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48A3C118" w14:textId="77777777" w:rsidR="009B341F" w:rsidRPr="00DA6B3F" w:rsidRDefault="00F5074E" w:rsidP="006B0C2A">
            <w:pPr>
              <w:spacing w:before="60" w:after="60" w:line="240" w:lineRule="auto"/>
              <w:jc w:val="both"/>
              <w:rPr>
                <w:rFonts w:ascii="Times New Roman" w:hAnsi="Times New Roman" w:cs="Times New Roman"/>
                <w:sz w:val="24"/>
                <w:szCs w:val="24"/>
              </w:rPr>
            </w:pPr>
            <w:r w:rsidRPr="00DA6B3F">
              <w:rPr>
                <w:rFonts w:ascii="Times New Roman" w:hAnsi="Times New Roman" w:cs="Times New Roman"/>
                <w:sz w:val="24"/>
                <w:szCs w:val="24"/>
              </w:rPr>
              <w:t>Nabavke</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dobara</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radova</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i</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usluga</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finansiranih</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od</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strane</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programa</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stambenog</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zbrinjavanja</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u</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Republici</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Srbiji</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pripremljena</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su</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dodeljena</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i</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organizovana</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u</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saradnji</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sa</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partnerskim</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zemljama</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i</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CEB</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Priručnikom</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za</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dobra</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radove</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i</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usluge</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objavljenom</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na</w:t>
            </w:r>
            <w:r w:rsidR="009B341F" w:rsidRPr="00DA6B3F">
              <w:rPr>
                <w:rFonts w:ascii="Times New Roman" w:hAnsi="Times New Roman" w:cs="Times New Roman"/>
                <w:sz w:val="24"/>
                <w:szCs w:val="24"/>
              </w:rPr>
              <w:t xml:space="preserve"> </w:t>
            </w:r>
            <w:r w:rsidRPr="00DA6B3F">
              <w:rPr>
                <w:rFonts w:ascii="Times New Roman" w:hAnsi="Times New Roman" w:cs="Times New Roman"/>
                <w:sz w:val="24"/>
                <w:szCs w:val="24"/>
              </w:rPr>
              <w:t>vebsajtu</w:t>
            </w:r>
            <w:r w:rsidR="009B341F" w:rsidRPr="00DA6B3F">
              <w:rPr>
                <w:rFonts w:ascii="Times New Roman" w:hAnsi="Times New Roman" w:cs="Times New Roman"/>
                <w:sz w:val="24"/>
                <w:szCs w:val="24"/>
              </w:rPr>
              <w:t>:</w:t>
            </w:r>
          </w:p>
          <w:p w14:paraId="4D339B9F" w14:textId="77777777" w:rsidR="009B341F" w:rsidRPr="00C13DF4" w:rsidRDefault="000502FB" w:rsidP="006B0C2A">
            <w:pPr>
              <w:spacing w:before="60" w:after="60" w:line="240" w:lineRule="auto"/>
              <w:jc w:val="both"/>
              <w:rPr>
                <w:rFonts w:ascii="Times New Roman" w:hAnsi="Times New Roman" w:cs="Times New Roman"/>
                <w:sz w:val="24"/>
                <w:szCs w:val="24"/>
              </w:rPr>
            </w:pPr>
            <w:hyperlink r:id="rId13" w:history="1">
              <w:r w:rsidR="009B341F" w:rsidRPr="00DA6B3F">
                <w:rPr>
                  <w:rStyle w:val="Hyperlink"/>
                  <w:rFonts w:ascii="Times New Roman" w:hAnsi="Times New Roman" w:cs="Times New Roman"/>
                  <w:sz w:val="24"/>
                  <w:szCs w:val="24"/>
                </w:rPr>
                <w:t>http://www.coebank.org/Upload/legal/en/procurement_guidelines.pdf</w:t>
              </w:r>
            </w:hyperlink>
            <w:r w:rsidR="009B341F" w:rsidRPr="00DA6B3F">
              <w:rPr>
                <w:rFonts w:ascii="Times New Roman" w:hAnsi="Times New Roman" w:cs="Times New Roman"/>
                <w:sz w:val="24"/>
                <w:szCs w:val="24"/>
              </w:rPr>
              <w:t xml:space="preserve"> .</w:t>
            </w:r>
          </w:p>
        </w:tc>
      </w:tr>
    </w:tbl>
    <w:p w14:paraId="45466F8C" w14:textId="77777777" w:rsidR="002D6E25" w:rsidRPr="00C13DF4" w:rsidRDefault="002D6E25" w:rsidP="00083F35">
      <w:pPr>
        <w:spacing w:before="60" w:after="60" w:line="240" w:lineRule="auto"/>
        <w:rPr>
          <w:rFonts w:ascii="Times New Roman" w:hAnsi="Times New Roman" w:cs="Times New Roman"/>
          <w:sz w:val="24"/>
          <w:szCs w:val="24"/>
        </w:rPr>
      </w:pPr>
    </w:p>
    <w:sectPr w:rsidR="002D6E25" w:rsidRPr="00C13DF4" w:rsidSect="002D6E25">
      <w:headerReference w:type="even" r:id="rId14"/>
      <w:headerReference w:type="default" r:id="rId15"/>
      <w:footerReference w:type="even" r:id="rId16"/>
      <w:footerReference w:type="default" r:id="rId17"/>
      <w:headerReference w:type="first" r:id="rId18"/>
      <w:footerReference w:type="first" r:id="rId19"/>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3C94D" w14:textId="77777777" w:rsidR="000502FB" w:rsidRDefault="000502FB" w:rsidP="00083F35">
      <w:pPr>
        <w:spacing w:after="0" w:line="240" w:lineRule="auto"/>
      </w:pPr>
      <w:r>
        <w:separator/>
      </w:r>
    </w:p>
  </w:endnote>
  <w:endnote w:type="continuationSeparator" w:id="0">
    <w:p w14:paraId="4FAA690A" w14:textId="77777777" w:rsidR="000502FB" w:rsidRDefault="000502FB"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Roboto">
    <w:altName w:val="Times New Roman"/>
    <w:charset w:val="00"/>
    <w:family w:val="auto"/>
    <w:pitch w:val="variable"/>
    <w:sig w:usb0="00000203"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F0DFE" w14:textId="77777777" w:rsidR="00F5074E" w:rsidRDefault="00F50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083F35" w:rsidRPr="00F5074E" w14:paraId="0B02FA36" w14:textId="77777777" w:rsidTr="00332E22">
      <w:tc>
        <w:tcPr>
          <w:tcW w:w="4773" w:type="dxa"/>
          <w:shd w:val="clear" w:color="auto" w:fill="auto"/>
        </w:tcPr>
        <w:p w14:paraId="1E884412" w14:textId="77777777" w:rsidR="00083F35" w:rsidRPr="00F5074E" w:rsidRDefault="00083F35"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7A5FF3">
            <w:rPr>
              <w:rFonts w:ascii="Roboto" w:hAnsi="Roboto"/>
              <w:sz w:val="20"/>
              <w:szCs w:val="20"/>
              <w:lang w:val="sr-Latn-CS"/>
            </w:rPr>
            <w:t>5</w:t>
          </w:r>
          <w:r w:rsidRPr="00F5074E">
            <w:rPr>
              <w:rFonts w:ascii="Roboto" w:hAnsi="Roboto"/>
              <w:sz w:val="20"/>
              <w:szCs w:val="20"/>
              <w:lang w:val="sr-Latn-CS"/>
            </w:rPr>
            <w:t xml:space="preserve"> </w:t>
          </w:r>
          <w:r w:rsidR="009432B5" w:rsidRPr="00F5074E">
            <w:rPr>
              <w:rFonts w:ascii="Roboto" w:hAnsi="Roboto"/>
              <w:sz w:val="20"/>
              <w:szCs w:val="20"/>
              <w:lang w:val="sr-Latn-CS"/>
            </w:rPr>
            <w:t>–</w:t>
          </w:r>
          <w:r w:rsidRPr="00F5074E">
            <w:rPr>
              <w:rFonts w:ascii="Roboto" w:hAnsi="Roboto"/>
              <w:sz w:val="20"/>
              <w:szCs w:val="20"/>
              <w:lang w:val="sr-Latn-CS"/>
            </w:rPr>
            <w:t xml:space="preserve"> </w:t>
          </w:r>
          <w:r w:rsidR="00F5074E" w:rsidRPr="00F5074E">
            <w:rPr>
              <w:rFonts w:ascii="Roboto" w:hAnsi="Roboto"/>
              <w:sz w:val="20"/>
              <w:szCs w:val="20"/>
              <w:lang w:val="sr-Latn-CS"/>
            </w:rPr>
            <w:t>Regionalni</w:t>
          </w:r>
          <w:r w:rsidR="009432B5" w:rsidRPr="00F5074E">
            <w:rPr>
              <w:rFonts w:ascii="Roboto" w:hAnsi="Roboto"/>
              <w:sz w:val="20"/>
              <w:szCs w:val="20"/>
              <w:lang w:val="sr-Latn-CS"/>
            </w:rPr>
            <w:t xml:space="preserve"> </w:t>
          </w:r>
          <w:r w:rsidR="00F5074E" w:rsidRPr="00F5074E">
            <w:rPr>
              <w:rFonts w:ascii="Roboto" w:hAnsi="Roboto"/>
              <w:sz w:val="20"/>
              <w:szCs w:val="20"/>
              <w:lang w:val="sr-Latn-CS"/>
            </w:rPr>
            <w:t>stambeni</w:t>
          </w:r>
          <w:r w:rsidR="009432B5" w:rsidRPr="00F5074E">
            <w:rPr>
              <w:rFonts w:ascii="Roboto" w:hAnsi="Roboto"/>
              <w:sz w:val="20"/>
              <w:szCs w:val="20"/>
              <w:lang w:val="sr-Latn-CS"/>
            </w:rPr>
            <w:t xml:space="preserve"> </w:t>
          </w:r>
          <w:r w:rsidR="00F5074E" w:rsidRPr="00F5074E">
            <w:rPr>
              <w:rFonts w:ascii="Roboto" w:hAnsi="Roboto"/>
              <w:sz w:val="20"/>
              <w:szCs w:val="20"/>
              <w:lang w:val="sr-Latn-CS"/>
            </w:rPr>
            <w:t>program</w:t>
          </w:r>
        </w:p>
      </w:tc>
      <w:tc>
        <w:tcPr>
          <w:tcW w:w="4515" w:type="dxa"/>
          <w:shd w:val="clear" w:color="auto" w:fill="auto"/>
        </w:tcPr>
        <w:p w14:paraId="6CA82E3E" w14:textId="77777777" w:rsidR="00083F35" w:rsidRPr="00F5074E" w:rsidRDefault="00F5074E"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Strana</w:t>
          </w:r>
          <w:r w:rsidR="00083F35" w:rsidRPr="00F5074E">
            <w:rPr>
              <w:rFonts w:ascii="Roboto" w:hAnsi="Roboto"/>
              <w:sz w:val="20"/>
              <w:szCs w:val="20"/>
              <w:lang w:val="sr-Latn-CS"/>
            </w:rPr>
            <w:t xml:space="preserve"> </w:t>
          </w:r>
          <w:r w:rsidR="00E12CB3" w:rsidRPr="00F5074E">
            <w:rPr>
              <w:rFonts w:ascii="Roboto" w:hAnsi="Roboto"/>
              <w:sz w:val="20"/>
              <w:szCs w:val="20"/>
              <w:lang w:val="sr-Latn-CS"/>
            </w:rPr>
            <w:fldChar w:fldCharType="begin"/>
          </w:r>
          <w:r w:rsidR="00083F35" w:rsidRPr="00F5074E">
            <w:rPr>
              <w:rFonts w:ascii="Roboto" w:hAnsi="Roboto"/>
              <w:sz w:val="20"/>
              <w:szCs w:val="20"/>
              <w:lang w:val="sr-Latn-CS"/>
            </w:rPr>
            <w:instrText xml:space="preserve"> PAGE   \* MERGEFORMAT </w:instrText>
          </w:r>
          <w:r w:rsidR="00E12CB3" w:rsidRPr="00F5074E">
            <w:rPr>
              <w:rFonts w:ascii="Roboto" w:hAnsi="Roboto"/>
              <w:sz w:val="20"/>
              <w:szCs w:val="20"/>
              <w:lang w:val="sr-Latn-CS"/>
            </w:rPr>
            <w:fldChar w:fldCharType="separate"/>
          </w:r>
          <w:r w:rsidR="004D5FE8">
            <w:rPr>
              <w:rFonts w:ascii="Roboto" w:hAnsi="Roboto"/>
              <w:noProof/>
              <w:sz w:val="20"/>
              <w:szCs w:val="20"/>
              <w:lang w:val="sr-Latn-CS"/>
            </w:rPr>
            <w:t>3</w:t>
          </w:r>
          <w:r w:rsidR="00E12CB3" w:rsidRPr="00F5074E">
            <w:rPr>
              <w:rFonts w:ascii="Roboto" w:hAnsi="Roboto"/>
              <w:noProof/>
              <w:sz w:val="20"/>
              <w:szCs w:val="20"/>
              <w:lang w:val="sr-Latn-CS"/>
            </w:rPr>
            <w:fldChar w:fldCharType="end"/>
          </w:r>
        </w:p>
      </w:tc>
    </w:tr>
  </w:tbl>
  <w:p w14:paraId="0C459C7F" w14:textId="77777777" w:rsidR="00083F35" w:rsidRPr="00F5074E" w:rsidRDefault="00083F35" w:rsidP="00083F35">
    <w:pPr>
      <w:pStyle w:val="Footer"/>
      <w:rPr>
        <w:lang w:val="sr-Latn-CS"/>
      </w:rPr>
    </w:pPr>
  </w:p>
  <w:p w14:paraId="6591746C" w14:textId="77777777" w:rsidR="00083F35" w:rsidRDefault="00083F35" w:rsidP="00083F35">
    <w:pPr>
      <w:pStyle w:val="Footer"/>
    </w:pPr>
  </w:p>
  <w:p w14:paraId="182C4D98" w14:textId="77777777" w:rsidR="00083F35" w:rsidRDefault="00083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BE39" w14:textId="77777777" w:rsidR="00F5074E" w:rsidRDefault="00F50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4348C" w14:textId="77777777" w:rsidR="000502FB" w:rsidRDefault="000502FB" w:rsidP="00083F35">
      <w:pPr>
        <w:spacing w:after="0" w:line="240" w:lineRule="auto"/>
      </w:pPr>
      <w:r>
        <w:separator/>
      </w:r>
    </w:p>
  </w:footnote>
  <w:footnote w:type="continuationSeparator" w:id="0">
    <w:p w14:paraId="1F4728CC" w14:textId="77777777" w:rsidR="000502FB" w:rsidRDefault="000502FB" w:rsidP="00083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FF00" w14:textId="77777777" w:rsidR="00F5074E" w:rsidRDefault="00F50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C41D" w14:textId="77777777" w:rsidR="00F5074E" w:rsidRDefault="00F507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77C57" w14:textId="77777777" w:rsidR="00F5074E" w:rsidRDefault="00F50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27E1"/>
    <w:multiLevelType w:val="hybridMultilevel"/>
    <w:tmpl w:val="A1BAE258"/>
    <w:lvl w:ilvl="0" w:tplc="CFAC7130">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500B2E"/>
    <w:multiLevelType w:val="multilevel"/>
    <w:tmpl w:val="040B001F"/>
    <w:numStyleLink w:val="Style1"/>
  </w:abstractNum>
  <w:abstractNum w:abstractNumId="4">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C01A67"/>
    <w:multiLevelType w:val="multilevel"/>
    <w:tmpl w:val="100271E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6A10BC"/>
    <w:multiLevelType w:val="hybridMultilevel"/>
    <w:tmpl w:val="1556C77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89181F"/>
    <w:multiLevelType w:val="hybridMultilevel"/>
    <w:tmpl w:val="290C226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2"/>
  </w:num>
  <w:num w:numId="5">
    <w:abstractNumId w:val="6"/>
  </w:num>
  <w:num w:numId="6">
    <w:abstractNumId w:val="8"/>
  </w:num>
  <w:num w:numId="7">
    <w:abstractNumId w:val="11"/>
  </w:num>
  <w:num w:numId="8">
    <w:abstractNumId w:val="10"/>
  </w:num>
  <w:num w:numId="9">
    <w:abstractNumId w:val="3"/>
    <w:lvlOverride w:ilvl="0">
      <w:lvl w:ilvl="0">
        <w:start w:val="3"/>
        <w:numFmt w:val="decimal"/>
        <w:lvlText w:val="%1."/>
        <w:lvlJc w:val="left"/>
        <w:pPr>
          <w:ind w:left="360" w:hanging="360"/>
        </w:pPr>
      </w:lvl>
    </w:lvlOverride>
    <w:lvlOverride w:ilvl="1">
      <w:lvl w:ilvl="1">
        <w:start w:val="1"/>
        <w:numFmt w:val="decimal"/>
        <w:lvlText w:val="%1.%2."/>
        <w:lvlJc w:val="left"/>
        <w:pPr>
          <w:ind w:left="1062"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4"/>
  </w:num>
  <w:num w:numId="11">
    <w:abstractNumId w:val="1"/>
  </w:num>
  <w:num w:numId="12">
    <w:abstractNumId w:val="0"/>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6E25"/>
    <w:rsid w:val="000019A6"/>
    <w:rsid w:val="00001FD9"/>
    <w:rsid w:val="00005BE2"/>
    <w:rsid w:val="00014289"/>
    <w:rsid w:val="00021B6A"/>
    <w:rsid w:val="00036601"/>
    <w:rsid w:val="00042FA2"/>
    <w:rsid w:val="000502FB"/>
    <w:rsid w:val="000532DB"/>
    <w:rsid w:val="00055D3F"/>
    <w:rsid w:val="0006082D"/>
    <w:rsid w:val="00063A1D"/>
    <w:rsid w:val="00072C19"/>
    <w:rsid w:val="000769CD"/>
    <w:rsid w:val="00081FA7"/>
    <w:rsid w:val="00083F35"/>
    <w:rsid w:val="000952E6"/>
    <w:rsid w:val="000A1FA5"/>
    <w:rsid w:val="000A4162"/>
    <w:rsid w:val="000B50C2"/>
    <w:rsid w:val="000C23AA"/>
    <w:rsid w:val="000C24E9"/>
    <w:rsid w:val="000D07CF"/>
    <w:rsid w:val="000D6EF0"/>
    <w:rsid w:val="000E0085"/>
    <w:rsid w:val="000E259C"/>
    <w:rsid w:val="000F2A3F"/>
    <w:rsid w:val="001131A3"/>
    <w:rsid w:val="0012515E"/>
    <w:rsid w:val="001311AB"/>
    <w:rsid w:val="0013478F"/>
    <w:rsid w:val="0014117B"/>
    <w:rsid w:val="00147F26"/>
    <w:rsid w:val="001537F3"/>
    <w:rsid w:val="00155176"/>
    <w:rsid w:val="001572BB"/>
    <w:rsid w:val="00167A2E"/>
    <w:rsid w:val="001B3EC5"/>
    <w:rsid w:val="001D635D"/>
    <w:rsid w:val="001E6527"/>
    <w:rsid w:val="001F42DB"/>
    <w:rsid w:val="001F4E83"/>
    <w:rsid w:val="001F550B"/>
    <w:rsid w:val="00215659"/>
    <w:rsid w:val="00220C98"/>
    <w:rsid w:val="00221593"/>
    <w:rsid w:val="002311EC"/>
    <w:rsid w:val="002324D3"/>
    <w:rsid w:val="00235149"/>
    <w:rsid w:val="00240CE7"/>
    <w:rsid w:val="0024580B"/>
    <w:rsid w:val="00246465"/>
    <w:rsid w:val="00246CA2"/>
    <w:rsid w:val="00250454"/>
    <w:rsid w:val="00250746"/>
    <w:rsid w:val="002511E1"/>
    <w:rsid w:val="002520DD"/>
    <w:rsid w:val="00266CF2"/>
    <w:rsid w:val="00274922"/>
    <w:rsid w:val="0027644A"/>
    <w:rsid w:val="0028066C"/>
    <w:rsid w:val="00281E01"/>
    <w:rsid w:val="00284980"/>
    <w:rsid w:val="002A191C"/>
    <w:rsid w:val="002A271B"/>
    <w:rsid w:val="002A4533"/>
    <w:rsid w:val="002B65C9"/>
    <w:rsid w:val="002B699C"/>
    <w:rsid w:val="002D6AD7"/>
    <w:rsid w:val="002D6E25"/>
    <w:rsid w:val="002F0581"/>
    <w:rsid w:val="002F55CB"/>
    <w:rsid w:val="00306A8F"/>
    <w:rsid w:val="00310452"/>
    <w:rsid w:val="00311F99"/>
    <w:rsid w:val="00320EEF"/>
    <w:rsid w:val="003376B4"/>
    <w:rsid w:val="00345CC7"/>
    <w:rsid w:val="003473FD"/>
    <w:rsid w:val="00352B75"/>
    <w:rsid w:val="00362F64"/>
    <w:rsid w:val="003779ED"/>
    <w:rsid w:val="00380CD7"/>
    <w:rsid w:val="00394072"/>
    <w:rsid w:val="00394F6F"/>
    <w:rsid w:val="003A5C58"/>
    <w:rsid w:val="003A734A"/>
    <w:rsid w:val="003C3679"/>
    <w:rsid w:val="003E746C"/>
    <w:rsid w:val="003F0D07"/>
    <w:rsid w:val="00412946"/>
    <w:rsid w:val="00412F3F"/>
    <w:rsid w:val="00415392"/>
    <w:rsid w:val="0041755B"/>
    <w:rsid w:val="00421C6D"/>
    <w:rsid w:val="004356F7"/>
    <w:rsid w:val="00436BFB"/>
    <w:rsid w:val="00436FEA"/>
    <w:rsid w:val="0044518B"/>
    <w:rsid w:val="004511C2"/>
    <w:rsid w:val="00456958"/>
    <w:rsid w:val="00460C34"/>
    <w:rsid w:val="00463902"/>
    <w:rsid w:val="0049529A"/>
    <w:rsid w:val="004A080A"/>
    <w:rsid w:val="004A083A"/>
    <w:rsid w:val="004A689C"/>
    <w:rsid w:val="004C73D4"/>
    <w:rsid w:val="004D477E"/>
    <w:rsid w:val="004D5FE8"/>
    <w:rsid w:val="004E4DE2"/>
    <w:rsid w:val="004F2601"/>
    <w:rsid w:val="004F7053"/>
    <w:rsid w:val="004F7C39"/>
    <w:rsid w:val="00501254"/>
    <w:rsid w:val="005028A2"/>
    <w:rsid w:val="00507486"/>
    <w:rsid w:val="00514B96"/>
    <w:rsid w:val="00517365"/>
    <w:rsid w:val="00521E5B"/>
    <w:rsid w:val="00527DE7"/>
    <w:rsid w:val="00542712"/>
    <w:rsid w:val="0055433D"/>
    <w:rsid w:val="0056767C"/>
    <w:rsid w:val="005678A9"/>
    <w:rsid w:val="005758C2"/>
    <w:rsid w:val="0059284E"/>
    <w:rsid w:val="005957B0"/>
    <w:rsid w:val="005B760E"/>
    <w:rsid w:val="005F3EF3"/>
    <w:rsid w:val="006023AF"/>
    <w:rsid w:val="0060657F"/>
    <w:rsid w:val="00621E23"/>
    <w:rsid w:val="00623D43"/>
    <w:rsid w:val="0062567A"/>
    <w:rsid w:val="00627C47"/>
    <w:rsid w:val="0064408D"/>
    <w:rsid w:val="00645B25"/>
    <w:rsid w:val="0064757B"/>
    <w:rsid w:val="006655D3"/>
    <w:rsid w:val="0067612C"/>
    <w:rsid w:val="006768BA"/>
    <w:rsid w:val="00687AC1"/>
    <w:rsid w:val="00687B7F"/>
    <w:rsid w:val="006C2566"/>
    <w:rsid w:val="006C4D30"/>
    <w:rsid w:val="006E2D1F"/>
    <w:rsid w:val="006E494D"/>
    <w:rsid w:val="006E69D8"/>
    <w:rsid w:val="006F117E"/>
    <w:rsid w:val="006F2451"/>
    <w:rsid w:val="006F5D9D"/>
    <w:rsid w:val="00702D12"/>
    <w:rsid w:val="007060FF"/>
    <w:rsid w:val="00706C8B"/>
    <w:rsid w:val="007146FA"/>
    <w:rsid w:val="00724B7D"/>
    <w:rsid w:val="00732D76"/>
    <w:rsid w:val="00736B96"/>
    <w:rsid w:val="00741D33"/>
    <w:rsid w:val="00744858"/>
    <w:rsid w:val="0074669E"/>
    <w:rsid w:val="0075079A"/>
    <w:rsid w:val="00765C47"/>
    <w:rsid w:val="00785A94"/>
    <w:rsid w:val="0078794D"/>
    <w:rsid w:val="00790B38"/>
    <w:rsid w:val="007A03A9"/>
    <w:rsid w:val="007A45EA"/>
    <w:rsid w:val="007A5FF3"/>
    <w:rsid w:val="007B2F5F"/>
    <w:rsid w:val="007B61F7"/>
    <w:rsid w:val="007C3F5A"/>
    <w:rsid w:val="007E34F5"/>
    <w:rsid w:val="007E3A0A"/>
    <w:rsid w:val="007F0F3B"/>
    <w:rsid w:val="007F71BC"/>
    <w:rsid w:val="008010E7"/>
    <w:rsid w:val="00803D57"/>
    <w:rsid w:val="00811BB8"/>
    <w:rsid w:val="00822C17"/>
    <w:rsid w:val="008263C1"/>
    <w:rsid w:val="0084337A"/>
    <w:rsid w:val="00844110"/>
    <w:rsid w:val="008473F8"/>
    <w:rsid w:val="00870D84"/>
    <w:rsid w:val="008727AE"/>
    <w:rsid w:val="0088741C"/>
    <w:rsid w:val="00897454"/>
    <w:rsid w:val="008A445F"/>
    <w:rsid w:val="008A52B3"/>
    <w:rsid w:val="008A5B70"/>
    <w:rsid w:val="008A6681"/>
    <w:rsid w:val="008B3F47"/>
    <w:rsid w:val="008C15E8"/>
    <w:rsid w:val="008D3F78"/>
    <w:rsid w:val="008F59E9"/>
    <w:rsid w:val="008F62E9"/>
    <w:rsid w:val="008F774F"/>
    <w:rsid w:val="00920B60"/>
    <w:rsid w:val="009432B5"/>
    <w:rsid w:val="00947ACB"/>
    <w:rsid w:val="0095334B"/>
    <w:rsid w:val="00962EBD"/>
    <w:rsid w:val="00967FCF"/>
    <w:rsid w:val="00970D81"/>
    <w:rsid w:val="00974A37"/>
    <w:rsid w:val="009836CF"/>
    <w:rsid w:val="00992086"/>
    <w:rsid w:val="0099494D"/>
    <w:rsid w:val="009B341F"/>
    <w:rsid w:val="009B3CCA"/>
    <w:rsid w:val="009C3B32"/>
    <w:rsid w:val="009C6217"/>
    <w:rsid w:val="009D2987"/>
    <w:rsid w:val="009D29C6"/>
    <w:rsid w:val="009E1108"/>
    <w:rsid w:val="009E33F0"/>
    <w:rsid w:val="009F04D0"/>
    <w:rsid w:val="009F0733"/>
    <w:rsid w:val="009F5074"/>
    <w:rsid w:val="009F6921"/>
    <w:rsid w:val="00A25855"/>
    <w:rsid w:val="00A335A3"/>
    <w:rsid w:val="00A43DE3"/>
    <w:rsid w:val="00A443AD"/>
    <w:rsid w:val="00A44BE5"/>
    <w:rsid w:val="00A4704A"/>
    <w:rsid w:val="00A60975"/>
    <w:rsid w:val="00A643F6"/>
    <w:rsid w:val="00A70E98"/>
    <w:rsid w:val="00A74CAB"/>
    <w:rsid w:val="00A90826"/>
    <w:rsid w:val="00A92081"/>
    <w:rsid w:val="00AB2B7D"/>
    <w:rsid w:val="00AB43D1"/>
    <w:rsid w:val="00AB5117"/>
    <w:rsid w:val="00AC219F"/>
    <w:rsid w:val="00AC7A57"/>
    <w:rsid w:val="00AD072E"/>
    <w:rsid w:val="00AD331E"/>
    <w:rsid w:val="00AD7BB3"/>
    <w:rsid w:val="00AF1C32"/>
    <w:rsid w:val="00AF2695"/>
    <w:rsid w:val="00AF4E9F"/>
    <w:rsid w:val="00B06DBE"/>
    <w:rsid w:val="00B172D4"/>
    <w:rsid w:val="00B17E2E"/>
    <w:rsid w:val="00B30A48"/>
    <w:rsid w:val="00B36795"/>
    <w:rsid w:val="00B43D36"/>
    <w:rsid w:val="00B54D21"/>
    <w:rsid w:val="00B54FB5"/>
    <w:rsid w:val="00B557B0"/>
    <w:rsid w:val="00B756BD"/>
    <w:rsid w:val="00B91312"/>
    <w:rsid w:val="00BA0697"/>
    <w:rsid w:val="00BB2642"/>
    <w:rsid w:val="00BE3BCE"/>
    <w:rsid w:val="00BF3B9D"/>
    <w:rsid w:val="00C025C2"/>
    <w:rsid w:val="00C07175"/>
    <w:rsid w:val="00C13DF4"/>
    <w:rsid w:val="00C25F2F"/>
    <w:rsid w:val="00C332A5"/>
    <w:rsid w:val="00C33D99"/>
    <w:rsid w:val="00C4327A"/>
    <w:rsid w:val="00C457B5"/>
    <w:rsid w:val="00C46BD6"/>
    <w:rsid w:val="00C51E0C"/>
    <w:rsid w:val="00C74DC7"/>
    <w:rsid w:val="00C75DB9"/>
    <w:rsid w:val="00C80A9A"/>
    <w:rsid w:val="00C87BF8"/>
    <w:rsid w:val="00CB56B2"/>
    <w:rsid w:val="00CB5A12"/>
    <w:rsid w:val="00CE5357"/>
    <w:rsid w:val="00CE5A41"/>
    <w:rsid w:val="00D11ED3"/>
    <w:rsid w:val="00D16D50"/>
    <w:rsid w:val="00D2520C"/>
    <w:rsid w:val="00D30797"/>
    <w:rsid w:val="00D33193"/>
    <w:rsid w:val="00D40491"/>
    <w:rsid w:val="00D50D6B"/>
    <w:rsid w:val="00D80D41"/>
    <w:rsid w:val="00D8511C"/>
    <w:rsid w:val="00D90339"/>
    <w:rsid w:val="00D91123"/>
    <w:rsid w:val="00DA6B3F"/>
    <w:rsid w:val="00DB5174"/>
    <w:rsid w:val="00DC53C0"/>
    <w:rsid w:val="00DD409A"/>
    <w:rsid w:val="00DD70F0"/>
    <w:rsid w:val="00DE4974"/>
    <w:rsid w:val="00DF1EC7"/>
    <w:rsid w:val="00DF6DC7"/>
    <w:rsid w:val="00E03F6D"/>
    <w:rsid w:val="00E04DEA"/>
    <w:rsid w:val="00E12CB3"/>
    <w:rsid w:val="00E216C1"/>
    <w:rsid w:val="00E273B8"/>
    <w:rsid w:val="00E3541A"/>
    <w:rsid w:val="00E42E7B"/>
    <w:rsid w:val="00E556AD"/>
    <w:rsid w:val="00E55913"/>
    <w:rsid w:val="00E60549"/>
    <w:rsid w:val="00E61D65"/>
    <w:rsid w:val="00E736BD"/>
    <w:rsid w:val="00E748EA"/>
    <w:rsid w:val="00E9393E"/>
    <w:rsid w:val="00E95143"/>
    <w:rsid w:val="00E963A1"/>
    <w:rsid w:val="00E9799A"/>
    <w:rsid w:val="00EB693E"/>
    <w:rsid w:val="00EF29C1"/>
    <w:rsid w:val="00EF721E"/>
    <w:rsid w:val="00F02170"/>
    <w:rsid w:val="00F0284F"/>
    <w:rsid w:val="00F03BC2"/>
    <w:rsid w:val="00F15726"/>
    <w:rsid w:val="00F27E4F"/>
    <w:rsid w:val="00F42B00"/>
    <w:rsid w:val="00F45BE8"/>
    <w:rsid w:val="00F5074E"/>
    <w:rsid w:val="00F520A4"/>
    <w:rsid w:val="00F55C3F"/>
    <w:rsid w:val="00F60401"/>
    <w:rsid w:val="00F66E45"/>
    <w:rsid w:val="00F70CFD"/>
    <w:rsid w:val="00F715B5"/>
    <w:rsid w:val="00F8425E"/>
    <w:rsid w:val="00F846DE"/>
    <w:rsid w:val="00F97CE1"/>
    <w:rsid w:val="00FA431E"/>
    <w:rsid w:val="00FA7344"/>
    <w:rsid w:val="00FC5AA1"/>
    <w:rsid w:val="00FC64AE"/>
    <w:rsid w:val="00FC73F9"/>
    <w:rsid w:val="00FD5E00"/>
    <w:rsid w:val="00FE54E3"/>
    <w:rsid w:val="00FF2D57"/>
    <w:rsid w:val="00FF487F"/>
    <w:rsid w:val="00FF717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BE81B"/>
  <w15:docId w15:val="{BDE772EF-CD06-4E7B-8AC8-8CC64373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uiPriority w:val="99"/>
    <w:semiHidden/>
    <w:unhideWhenUsed/>
    <w:rsid w:val="002B65C9"/>
    <w:rPr>
      <w:b/>
      <w:bCs/>
    </w:rPr>
  </w:style>
  <w:style w:type="character" w:customStyle="1" w:styleId="CommentSubjectChar">
    <w:name w:val="Comment Subject Char"/>
    <w:basedOn w:val="CommentTextChar"/>
    <w:link w:val="CommentSubject"/>
    <w:uiPriority w:val="99"/>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numbering" w:customStyle="1" w:styleId="Style1">
    <w:name w:val="Style1"/>
    <w:uiPriority w:val="99"/>
    <w:rsid w:val="00A90826"/>
    <w:pPr>
      <w:numPr>
        <w:numId w:val="10"/>
      </w:numPr>
    </w:pPr>
  </w:style>
  <w:style w:type="character" w:styleId="FollowedHyperlink">
    <w:name w:val="FollowedHyperlink"/>
    <w:basedOn w:val="DefaultParagraphFont"/>
    <w:uiPriority w:val="99"/>
    <w:semiHidden/>
    <w:unhideWhenUsed/>
    <w:rsid w:val="00527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1791700428">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yperlink" Target="http://www.coebank.org/Upload/legal/en/procurement_guideline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nja.popovic@piu.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simic@piu.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ortal.ujn.go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iu.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6112-1BF4-419A-AF27-EE058200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Jelena Simić</cp:lastModifiedBy>
  <cp:revision>60</cp:revision>
  <dcterms:created xsi:type="dcterms:W3CDTF">2015-10-14T11:47:00Z</dcterms:created>
  <dcterms:modified xsi:type="dcterms:W3CDTF">2017-05-29T12:54:00Z</dcterms:modified>
</cp:coreProperties>
</file>