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4B5B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4D8A49E6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14A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97B2" w14:textId="5228E660" w:rsidR="00421C6D" w:rsidRPr="003C1828" w:rsidRDefault="009E7521" w:rsidP="00800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Tehnički predstavnik za isporuku i ugradnju</w:t>
            </w:r>
            <w:r w:rsidRPr="00965B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221 paketa građevinskog materijala</w:t>
            </w:r>
          </w:p>
        </w:tc>
      </w:tr>
      <w:tr w:rsidR="002D6E25" w:rsidRPr="003C1828" w14:paraId="507A3B3F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EC46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C99" w14:textId="77777777"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14:paraId="1D525715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EDA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1C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F73D6D6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856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39C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31E4" w14:textId="6C57AFA0" w:rsidR="002D6E25" w:rsidRPr="00313AAB" w:rsidRDefault="009E7521" w:rsidP="000442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A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RHP-W7-CM-TS/NOP1-2018</w:t>
            </w:r>
          </w:p>
        </w:tc>
      </w:tr>
      <w:tr w:rsidR="002D6E25" w:rsidRPr="003C1828" w14:paraId="66C08A14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B5D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F597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6A135EE7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8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0A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4914" w14:textId="77777777" w:rsidR="009E7521" w:rsidRPr="00746344" w:rsidRDefault="009E7521" w:rsidP="009E752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1F6FDD" w14:textId="736B7BB3" w:rsidR="002D6E25" w:rsidRPr="003C1828" w:rsidRDefault="009E7521" w:rsidP="009E752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Saveta Evrope i Republike Srbije u vezi sa Regionalnim programom stambenog zbrinjavanja, potpisan 25. oktobra 2013. godine, Ugovor o donaciji zaključen između Banke za razvoj Saveta Evrope i Republike Srbije u vezi sa realizacijom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sedmog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potprojekta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Regionalnog programa stambenog zbrinjavanja, potpisan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oktobra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3B97D2A6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BA3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C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4F34AE3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ED7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84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A0D" w14:textId="1B49857E" w:rsidR="002D6E25" w:rsidRPr="00EE6FDB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edinica za upravljanje projektima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</w:tc>
      </w:tr>
      <w:tr w:rsidR="002D6E25" w:rsidRPr="003C1828" w14:paraId="28F27AF3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B2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A67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457E6440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93F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72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1AD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6EAE7444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4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C9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2AC3E94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360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784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47D" w14:textId="77777777" w:rsidR="002D6E25" w:rsidRPr="003C1828" w:rsidRDefault="00422FA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2657E9F7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6BF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60D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274034F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90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B8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ECA" w14:textId="0F2E9842" w:rsidR="000E259C" w:rsidRPr="003C1828" w:rsidRDefault="009E7521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Nacionalni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otvoreni postupak</w:t>
            </w:r>
          </w:p>
        </w:tc>
      </w:tr>
      <w:tr w:rsidR="002D6E25" w:rsidRPr="003C1828" w14:paraId="200B73D6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C5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F13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3289F5E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A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93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6801" w14:textId="08BDCD78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9E75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4FC7061C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B0B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B34B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94FC12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2D0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D24" w14:textId="2AAF6D22" w:rsidR="00D4185B" w:rsidRPr="00CA4817" w:rsidRDefault="00E74128" w:rsidP="00075C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 za isporuku i ugradnju građevinskog materijala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71631000</w:t>
            </w:r>
            <w:r w:rsidR="00634C9F" w:rsidRPr="00634C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14:paraId="2F5C7DAA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9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F58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536A2432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29FB78F8" w14:textId="6E5CE4DD" w:rsidR="00BB5BE0" w:rsidRPr="003075A3" w:rsidRDefault="009E7521" w:rsidP="00BA3C8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Obim ovog projekta podrazumeva vršenje usluge tehničkog predstav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 pri isporuci i ugradnji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 xml:space="preserve"> paketa</w:t>
            </w: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 xml:space="preserve"> građevinskog materijala kod korisnika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sledećim lokacijama: Kula, Bačka Topola, Apatin, Bačka Palanka, Srbobran, Temerin, Kikinda, Zrenjanin, Sremska Mitrovica, Ruma, Irig, Šabac, Vršac, Pančevo, Novi Beograd, Kovin i Velika Plana.</w:t>
            </w:r>
          </w:p>
        </w:tc>
      </w:tr>
      <w:tr w:rsidR="00CA4817" w:rsidRPr="003C1828" w14:paraId="225D6D5A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5BF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52B2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A7093D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E4B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3F11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3456" w14:textId="77C9B7A1" w:rsidR="00421E26" w:rsidRPr="004820D6" w:rsidRDefault="004820D6" w:rsidP="004820D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20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 primenjivo</w:t>
            </w:r>
            <w:r w:rsidR="00313AA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81228B" w:rsidRPr="003C1828" w14:paraId="50C4551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B30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50B8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488C4FBD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B88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F0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7F6" w14:textId="07CD426C" w:rsidR="00E95B92" w:rsidRPr="004820D6" w:rsidRDefault="009E7521" w:rsidP="00EA3BC0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752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75.582,00 EUR bez PDV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6D620B" w:rsidRPr="003C1828" w14:paraId="2AB3C15D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86A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13C9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682BD876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D62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D7A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3A50442D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A3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100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36DB09E5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50C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F739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057AEBB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4E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2364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F895B13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26D" w14:textId="77777777" w:rsidR="002D6E25" w:rsidRPr="003C1828" w:rsidRDefault="002D6E25" w:rsidP="00560BD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199" w14:textId="77777777" w:rsidR="00F715B5" w:rsidRPr="002151AD" w:rsidRDefault="00F5074E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0733A1F" w14:textId="70692178" w:rsidR="002D6E25" w:rsidRPr="002151AD" w:rsidRDefault="001144C2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634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  <w:tr w:rsidR="002D6E25" w:rsidRPr="003C1828" w14:paraId="35714B2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E15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C96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158DBE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3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E18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274960A1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11A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992D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A6314D6" w14:textId="473A1446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3AC2CC5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</w:rPr>
              <w:t>Likvidnost: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6F3E41C7" w14:textId="77777777" w:rsidR="00B31A07" w:rsidRPr="00B31A07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426E62AF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Stečaj i likvidacija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 D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a nad ponuđačem nije pokrenut postupak stečaja ili likvidacije, odnosno pre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hodni stečajni postupak.</w:t>
            </w:r>
          </w:p>
          <w:p w14:paraId="1FCCA2ED" w14:textId="77777777" w:rsidR="00B31A07" w:rsidRPr="00B31A07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Ova odredba se odnosi na sve ponuđače iz grupe ponuđača i na sve podizvođače.</w:t>
            </w:r>
          </w:p>
          <w:p w14:paraId="08931F4A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Poslovni prihod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Ponuđač mora imati prosečan poslovni prihod u poslednje tri (3) 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obračunske godine (2015, 2016, 2017) u iznosu od najmanje 13.500.000,00 RSD.</w:t>
            </w:r>
          </w:p>
          <w:p w14:paraId="6CD17FBB" w14:textId="0F240E69" w:rsidR="006D620B" w:rsidRPr="002151AD" w:rsidRDefault="00B31A07" w:rsidP="00B31A07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Vodeći član grupe ponuđača u obavezi je da ispuni 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minimum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 50% navedenog uslova.</w:t>
            </w:r>
            <w:r w:rsidR="006D62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E2A56" w14:textId="77777777"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F364" w14:textId="77777777"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CB82F7" w14:textId="77777777" w:rsidR="00B31A07" w:rsidRPr="00B31A07" w:rsidRDefault="00B31A07" w:rsidP="00B31A07">
            <w:pPr>
              <w:pStyle w:val="ListParagraph"/>
              <w:numPr>
                <w:ilvl w:val="0"/>
                <w:numId w:val="15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Ponuđač mora da 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ima u radnom odnosu 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minimum 5 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lica, po osnovu ugovora o radu (određeno i neodređeno vreme).</w:t>
            </w:r>
          </w:p>
          <w:p w14:paraId="456C1805" w14:textId="77777777" w:rsidR="00B31A07" w:rsidRPr="00B31A07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podnošenja zajedničke ponude, ovaj uslov članovi grupe ponuđača/konzorcijuma ispunjavaju zajedno. </w:t>
            </w:r>
          </w:p>
          <w:p w14:paraId="42C07F1F" w14:textId="77777777" w:rsidR="003C1828" w:rsidRPr="00B31A07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DD9980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4FAB6272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14:paraId="7CEC97F0" w14:textId="385CB470" w:rsidR="004820D6" w:rsidRPr="004820D6" w:rsidRDefault="004820D6" w:rsidP="004820D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 xml:space="preserve">Da je u poslednjih 5 (pet) godina vršio usluge stručnog nadzora ili odgovornog </w:t>
            </w:r>
            <w:r w:rsidR="0060582D">
              <w:rPr>
                <w:rFonts w:ascii="Times New Roman" w:hAnsi="Times New Roman" w:cs="Times New Roman"/>
                <w:sz w:val="24"/>
                <w:szCs w:val="24"/>
              </w:rPr>
              <w:t>izvođača radova u toku građenja</w:t>
            </w: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 xml:space="preserve"> novih objekata, dogradnji ili rekonstrukciji postojećih objekata, i to na najmanje 5 (pet) objekata, ukupne minimalne bruto površine od 5.000 m2. </w:t>
            </w:r>
          </w:p>
          <w:p w14:paraId="1B8DBAF1" w14:textId="2D597360" w:rsidR="007D6CDD" w:rsidRPr="004820D6" w:rsidRDefault="00B31A07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Grupa ponuđača: U slučaju podnošenja zajedničke ponude, ovaj uslov članovi grupe ponuđača/konzorcijuma ispunjavaju zajedno.</w:t>
            </w:r>
          </w:p>
        </w:tc>
      </w:tr>
      <w:tr w:rsidR="002D6E25" w:rsidRPr="003C1828" w14:paraId="79349C3F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95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B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6813EEF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0C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98E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E61145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233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9F1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</w:pP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Najniža </w:t>
            </w:r>
            <w:proofErr w:type="spellStart"/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>pon</w:t>
            </w:r>
            <w:proofErr w:type="spellEnd"/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uđena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cena:</w:t>
            </w:r>
          </w:p>
          <w:p w14:paraId="0D4D472F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Naj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povoljnijom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ponudom smatra se ponuda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sa najnižom ponuđenom cenom,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koja nije odbijena iz razloga navedenih u tački 12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.</w:t>
            </w:r>
          </w:p>
          <w:p w14:paraId="68B08760" w14:textId="77777777" w:rsidR="0061567C" w:rsidRPr="0061567C" w:rsidRDefault="0061567C" w:rsidP="006156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</w:t>
            </w:r>
            <w:r w:rsidRPr="006156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dve ili </w:t>
            </w: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 xml:space="preserve">više ponuda sa istom ponuđenom cenom, prednost se daje ponudi koja ima duži rok važenja ponude. </w:t>
            </w:r>
          </w:p>
          <w:p w14:paraId="57465BA5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Ukoliko dve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ili više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a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imaju istu i cenu i rok važenja ponude,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prednost se daje ponuđaču koji ima duži rok trajanja meničnog ovlašćenja Menice za ozbiljnost ponude. </w:t>
            </w:r>
          </w:p>
          <w:p w14:paraId="588087C9" w14:textId="6F91A620" w:rsidR="00151744" w:rsidRPr="003B4672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035F4332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97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B0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ABE97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905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FE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8474" w14:textId="77777777" w:rsidR="00687B7F" w:rsidRPr="00C47CF7" w:rsidRDefault="00422FA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82B90" w14:textId="77777777" w:rsidR="00380CD7" w:rsidRPr="003C1828" w:rsidRDefault="00422FA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2A1594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06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C7B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CC3A0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CD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EC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6189615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E96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93C" w14:textId="08E5C292" w:rsidR="002D6E25" w:rsidRPr="00313AAB" w:rsidRDefault="00313AA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2D6E25" w:rsidRPr="003C1828" w14:paraId="5926A5C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81D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EC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F38055" w14:textId="77777777" w:rsidTr="00BD0225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9AC8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0F0" w14:textId="6558C249" w:rsidR="002D6E25" w:rsidRPr="003C1828" w:rsidRDefault="0061567C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76F2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06A7D744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proofErr w:type="spellStart"/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proofErr w:type="spellEnd"/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FFA0BC4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proofErr w:type="spellStart"/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proofErr w:type="spellEnd"/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1DEC00" w14:textId="2AD126B5" w:rsidR="002D6E25" w:rsidRPr="00BD0225" w:rsidRDefault="0061567C" w:rsidP="00773D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ponuda je</w:t>
            </w:r>
            <w:r w:rsidRPr="007800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8000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773D54" w:rsidRPr="00773D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30.11.</w:t>
            </w:r>
            <w:r w:rsidRPr="00773D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2018. godine do 12</w:t>
            </w:r>
            <w:r w:rsidR="00773D54" w:rsidRPr="00773D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:00</w:t>
            </w:r>
            <w:r w:rsidRPr="00773D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časova.</w:t>
            </w:r>
          </w:p>
        </w:tc>
      </w:tr>
      <w:tr w:rsidR="002D6E25" w:rsidRPr="003C1828" w14:paraId="1D18AEE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2FE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E11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FB8306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DC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BD25" w14:textId="0DAE08FB" w:rsidR="002D6E25" w:rsidRPr="003C1828" w:rsidRDefault="0061567C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3432" w14:textId="75AF6522" w:rsidR="002D6E25" w:rsidRPr="00BD0225" w:rsidRDefault="0061567C" w:rsidP="00773D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>Otvaranje ponuda održaće se: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73D54" w:rsidRPr="00773D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30.11.</w:t>
            </w:r>
            <w:r w:rsidRPr="00773D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2018. godine</w:t>
            </w:r>
            <w:r w:rsidRPr="0077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54">
              <w:rPr>
                <w:rFonts w:ascii="Times New Roman" w:hAnsi="Times New Roman" w:cs="Times New Roman"/>
                <w:b/>
                <w:sz w:val="24"/>
                <w:szCs w:val="24"/>
              </w:rPr>
              <w:t>u 12:30</w:t>
            </w:r>
            <w:r w:rsidRPr="00773D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3D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časova</w:t>
            </w:r>
            <w:r w:rsidRPr="00773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u prostorijama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3C1828" w14:paraId="3545A031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381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499B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8865C66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4C5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B7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766D4B58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B56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678" w14:textId="2707DF4C" w:rsidR="002D6E25" w:rsidRPr="003C1828" w:rsidRDefault="004177F6" w:rsidP="004177F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u vreme i na mestu određenom u 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ovom </w:t>
            </w:r>
            <w:r w:rsidRPr="005421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Obaveštenju o pokretanju postupka nabavke</w:t>
            </w:r>
            <w:r w:rsidRPr="0054213C">
              <w:rPr>
                <w:rFonts w:ascii="Times New Roman" w:hAnsi="Times New Roman" w:cs="Times New Roman"/>
                <w:sz w:val="24"/>
                <w:szCs w:val="24"/>
              </w:rPr>
              <w:t xml:space="preserve"> i Uputstvu za ponuđače. </w:t>
            </w:r>
            <w:r w:rsidRPr="005421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postupku otvaranja ponuda mogu aktivno učestvovati samo ovlašćeni predstavnici ponuđača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u kom slučaju su 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u obavezi da dostave ovlašćenje za prisustvovanje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otvaranju ponuda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i potpisivanje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zapisnika o otvaranju ponuda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1C83782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02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D69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74C27B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8F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93C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96C0" w14:textId="518645FD" w:rsidR="002D6E25" w:rsidRPr="003C1828" w:rsidRDefault="00C3685C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60 dana od isteka roka za podnošenje ponuda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3C1828" w14:paraId="667B12EC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A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AAC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2E804397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CACB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862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F0D9" w14:textId="6431AC0B" w:rsidR="009B341F" w:rsidRPr="003C1828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EC11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  <w:p w14:paraId="695CF718" w14:textId="240D9BBA" w:rsidR="00083F35" w:rsidRPr="006D620B" w:rsidRDefault="00422FA6" w:rsidP="00BA3C83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="00C3685C" w:rsidRPr="00B37A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dejan.domanovic</w:t>
              </w:r>
              <w:r w:rsidR="00C3685C" w:rsidRPr="00B37A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6D620B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6CC6F3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29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1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47E387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5FE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CF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DBB3247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C6C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EC2" w14:textId="77777777" w:rsidR="00C3685C" w:rsidRPr="00746344" w:rsidRDefault="00C3685C" w:rsidP="00C368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 sa partnerskim zemljama i CEB Priručnikom za dobra, radove i usluge, objavljenom na vebsajtu:</w:t>
            </w:r>
          </w:p>
          <w:p w14:paraId="2A3426A4" w14:textId="3EC9C463" w:rsidR="009B341F" w:rsidRPr="00D512D8" w:rsidRDefault="00422FA6" w:rsidP="00C368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C3685C" w:rsidRPr="00702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01849953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1AA7A" w14:textId="77777777" w:rsidR="00422FA6" w:rsidRDefault="00422FA6" w:rsidP="00083F35">
      <w:pPr>
        <w:spacing w:after="0" w:line="240" w:lineRule="auto"/>
      </w:pPr>
      <w:r>
        <w:separator/>
      </w:r>
    </w:p>
  </w:endnote>
  <w:endnote w:type="continuationSeparator" w:id="0">
    <w:p w14:paraId="289A5474" w14:textId="77777777" w:rsidR="00422FA6" w:rsidRDefault="00422FA6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4A64BB97" w14:textId="77777777" w:rsidTr="00332E22">
      <w:tc>
        <w:tcPr>
          <w:tcW w:w="4773" w:type="dxa"/>
          <w:shd w:val="clear" w:color="auto" w:fill="auto"/>
        </w:tcPr>
        <w:p w14:paraId="430472C8" w14:textId="67F30C69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60582D">
            <w:rPr>
              <w:rFonts w:ascii="Roboto" w:hAnsi="Roboto"/>
              <w:sz w:val="20"/>
              <w:szCs w:val="20"/>
              <w:lang w:val="sr-Latn-CS"/>
            </w:rPr>
            <w:t>8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CB4426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7F2C88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57D7CF4" w14:textId="77777777" w:rsidR="00083F35" w:rsidRPr="00F5074E" w:rsidRDefault="00083F35" w:rsidP="00083F35">
    <w:pPr>
      <w:pStyle w:val="Footer"/>
      <w:rPr>
        <w:lang w:val="sr-Latn-CS"/>
      </w:rPr>
    </w:pPr>
  </w:p>
  <w:p w14:paraId="0A2F621A" w14:textId="77777777" w:rsidR="00083F35" w:rsidRDefault="00083F35" w:rsidP="00083F35">
    <w:pPr>
      <w:pStyle w:val="Footer"/>
    </w:pPr>
  </w:p>
  <w:p w14:paraId="56D34188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1D68B" w14:textId="77777777" w:rsidR="00422FA6" w:rsidRDefault="00422FA6" w:rsidP="00083F35">
      <w:pPr>
        <w:spacing w:after="0" w:line="240" w:lineRule="auto"/>
      </w:pPr>
      <w:r>
        <w:separator/>
      </w:r>
    </w:p>
  </w:footnote>
  <w:footnote w:type="continuationSeparator" w:id="0">
    <w:p w14:paraId="52771A5B" w14:textId="77777777" w:rsidR="00422FA6" w:rsidRDefault="00422FA6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040B001F"/>
    <w:numStyleLink w:val="Style1"/>
  </w:abstractNum>
  <w:abstractNum w:abstractNumId="4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7C48"/>
    <w:multiLevelType w:val="hybridMultilevel"/>
    <w:tmpl w:val="38C8DEA2"/>
    <w:lvl w:ilvl="0" w:tplc="04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17"/>
  </w:num>
  <w:num w:numId="13">
    <w:abstractNumId w:val="19"/>
  </w:num>
  <w:num w:numId="14">
    <w:abstractNumId w:val="0"/>
  </w:num>
  <w:num w:numId="15">
    <w:abstractNumId w:val="18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362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5D3F"/>
    <w:rsid w:val="00065002"/>
    <w:rsid w:val="0006550E"/>
    <w:rsid w:val="00065818"/>
    <w:rsid w:val="00065FED"/>
    <w:rsid w:val="000677D9"/>
    <w:rsid w:val="0007016B"/>
    <w:rsid w:val="0007348F"/>
    <w:rsid w:val="000741E2"/>
    <w:rsid w:val="00075CAB"/>
    <w:rsid w:val="00080859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0F9D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121CB"/>
    <w:rsid w:val="001144C2"/>
    <w:rsid w:val="00121425"/>
    <w:rsid w:val="0012293E"/>
    <w:rsid w:val="0012515E"/>
    <w:rsid w:val="001261A9"/>
    <w:rsid w:val="00127274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769DF"/>
    <w:rsid w:val="001811CA"/>
    <w:rsid w:val="001825AD"/>
    <w:rsid w:val="001859F5"/>
    <w:rsid w:val="00187DE0"/>
    <w:rsid w:val="00195D05"/>
    <w:rsid w:val="001A4007"/>
    <w:rsid w:val="001B3EC5"/>
    <w:rsid w:val="001C4945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3AF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6A8F"/>
    <w:rsid w:val="003075A3"/>
    <w:rsid w:val="00310452"/>
    <w:rsid w:val="0031288D"/>
    <w:rsid w:val="00313AAB"/>
    <w:rsid w:val="00314220"/>
    <w:rsid w:val="003402D0"/>
    <w:rsid w:val="00342A4D"/>
    <w:rsid w:val="00342C50"/>
    <w:rsid w:val="00345CC7"/>
    <w:rsid w:val="003465F1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3679"/>
    <w:rsid w:val="003D3BBE"/>
    <w:rsid w:val="003D7EE1"/>
    <w:rsid w:val="003E1ED0"/>
    <w:rsid w:val="003E56C8"/>
    <w:rsid w:val="003F0D07"/>
    <w:rsid w:val="003F3FA3"/>
    <w:rsid w:val="00400652"/>
    <w:rsid w:val="0040336A"/>
    <w:rsid w:val="00412946"/>
    <w:rsid w:val="00412BDE"/>
    <w:rsid w:val="00412F3F"/>
    <w:rsid w:val="0041755B"/>
    <w:rsid w:val="004177F6"/>
    <w:rsid w:val="00421C6D"/>
    <w:rsid w:val="00421E26"/>
    <w:rsid w:val="00422FA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0EE"/>
    <w:rsid w:val="004618CB"/>
    <w:rsid w:val="00463902"/>
    <w:rsid w:val="00465993"/>
    <w:rsid w:val="004820D6"/>
    <w:rsid w:val="0049529A"/>
    <w:rsid w:val="0049574D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D49A0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B09"/>
    <w:rsid w:val="005279C3"/>
    <w:rsid w:val="00532F9E"/>
    <w:rsid w:val="00542712"/>
    <w:rsid w:val="00544BD3"/>
    <w:rsid w:val="005451F0"/>
    <w:rsid w:val="00547C18"/>
    <w:rsid w:val="0055433D"/>
    <w:rsid w:val="005605CE"/>
    <w:rsid w:val="00560BDA"/>
    <w:rsid w:val="00563ED4"/>
    <w:rsid w:val="0056767C"/>
    <w:rsid w:val="005758C2"/>
    <w:rsid w:val="00582577"/>
    <w:rsid w:val="005843C6"/>
    <w:rsid w:val="005873EB"/>
    <w:rsid w:val="0059284E"/>
    <w:rsid w:val="005B0BA3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0582D"/>
    <w:rsid w:val="0061567C"/>
    <w:rsid w:val="00621B45"/>
    <w:rsid w:val="00621E23"/>
    <w:rsid w:val="00623D43"/>
    <w:rsid w:val="0062567A"/>
    <w:rsid w:val="00627C47"/>
    <w:rsid w:val="00634C9F"/>
    <w:rsid w:val="00637765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A3B90"/>
    <w:rsid w:val="006C15A8"/>
    <w:rsid w:val="006C2566"/>
    <w:rsid w:val="006D0066"/>
    <w:rsid w:val="006D28FD"/>
    <w:rsid w:val="006D620B"/>
    <w:rsid w:val="006E0C94"/>
    <w:rsid w:val="006E127D"/>
    <w:rsid w:val="006E2D1F"/>
    <w:rsid w:val="006E494D"/>
    <w:rsid w:val="006E69D8"/>
    <w:rsid w:val="006F2451"/>
    <w:rsid w:val="006F2A29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73D54"/>
    <w:rsid w:val="007848D6"/>
    <w:rsid w:val="00787885"/>
    <w:rsid w:val="0078794D"/>
    <w:rsid w:val="00790B38"/>
    <w:rsid w:val="00792E99"/>
    <w:rsid w:val="007A45EA"/>
    <w:rsid w:val="007A5FF3"/>
    <w:rsid w:val="007B2F5F"/>
    <w:rsid w:val="007D338E"/>
    <w:rsid w:val="007D6CDD"/>
    <w:rsid w:val="007E1F6F"/>
    <w:rsid w:val="007E34F5"/>
    <w:rsid w:val="007E3A0A"/>
    <w:rsid w:val="007F0F3B"/>
    <w:rsid w:val="007F2C88"/>
    <w:rsid w:val="00800C32"/>
    <w:rsid w:val="00803D57"/>
    <w:rsid w:val="0081228B"/>
    <w:rsid w:val="00817B32"/>
    <w:rsid w:val="00820AB9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169C"/>
    <w:rsid w:val="008960BD"/>
    <w:rsid w:val="00896A50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6C7C"/>
    <w:rsid w:val="00947ACB"/>
    <w:rsid w:val="009513D0"/>
    <w:rsid w:val="0095334B"/>
    <w:rsid w:val="009538B0"/>
    <w:rsid w:val="00953CED"/>
    <w:rsid w:val="00954157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2F6B"/>
    <w:rsid w:val="009A4733"/>
    <w:rsid w:val="009A4969"/>
    <w:rsid w:val="009A4FEF"/>
    <w:rsid w:val="009B341F"/>
    <w:rsid w:val="009B389F"/>
    <w:rsid w:val="009B3CCA"/>
    <w:rsid w:val="009B6FEB"/>
    <w:rsid w:val="009C19D5"/>
    <w:rsid w:val="009C3B32"/>
    <w:rsid w:val="009C41B5"/>
    <w:rsid w:val="009C6217"/>
    <w:rsid w:val="009C6570"/>
    <w:rsid w:val="009C7399"/>
    <w:rsid w:val="009D29C6"/>
    <w:rsid w:val="009D5F98"/>
    <w:rsid w:val="009E33F0"/>
    <w:rsid w:val="009E37BC"/>
    <w:rsid w:val="009E7521"/>
    <w:rsid w:val="009F04D0"/>
    <w:rsid w:val="009F0733"/>
    <w:rsid w:val="009F5074"/>
    <w:rsid w:val="009F6921"/>
    <w:rsid w:val="00A00F77"/>
    <w:rsid w:val="00A019B7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93127"/>
    <w:rsid w:val="00AA5858"/>
    <w:rsid w:val="00AB2B7D"/>
    <w:rsid w:val="00AB4E97"/>
    <w:rsid w:val="00AB5117"/>
    <w:rsid w:val="00AC219F"/>
    <w:rsid w:val="00AC4B91"/>
    <w:rsid w:val="00AC7A57"/>
    <w:rsid w:val="00AD240A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C48"/>
    <w:rsid w:val="00B17E2E"/>
    <w:rsid w:val="00B24B43"/>
    <w:rsid w:val="00B30A48"/>
    <w:rsid w:val="00B31A07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732A1"/>
    <w:rsid w:val="00B81B52"/>
    <w:rsid w:val="00B85D97"/>
    <w:rsid w:val="00B91312"/>
    <w:rsid w:val="00B94331"/>
    <w:rsid w:val="00BA0697"/>
    <w:rsid w:val="00BA3962"/>
    <w:rsid w:val="00BA3C83"/>
    <w:rsid w:val="00BA40E7"/>
    <w:rsid w:val="00BA7AA0"/>
    <w:rsid w:val="00BB0792"/>
    <w:rsid w:val="00BB2642"/>
    <w:rsid w:val="00BB3E4B"/>
    <w:rsid w:val="00BB5BE0"/>
    <w:rsid w:val="00BC2938"/>
    <w:rsid w:val="00BD0225"/>
    <w:rsid w:val="00BE4B72"/>
    <w:rsid w:val="00BE634B"/>
    <w:rsid w:val="00BF3B9D"/>
    <w:rsid w:val="00C07175"/>
    <w:rsid w:val="00C12CAE"/>
    <w:rsid w:val="00C13640"/>
    <w:rsid w:val="00C13DF4"/>
    <w:rsid w:val="00C22585"/>
    <w:rsid w:val="00C30706"/>
    <w:rsid w:val="00C31F0D"/>
    <w:rsid w:val="00C330BD"/>
    <w:rsid w:val="00C332A5"/>
    <w:rsid w:val="00C33D99"/>
    <w:rsid w:val="00C3685C"/>
    <w:rsid w:val="00C4327A"/>
    <w:rsid w:val="00C47CF7"/>
    <w:rsid w:val="00C530C0"/>
    <w:rsid w:val="00C56430"/>
    <w:rsid w:val="00C56ADB"/>
    <w:rsid w:val="00C60922"/>
    <w:rsid w:val="00C618D8"/>
    <w:rsid w:val="00C71C3E"/>
    <w:rsid w:val="00C72BDD"/>
    <w:rsid w:val="00C8470A"/>
    <w:rsid w:val="00C86574"/>
    <w:rsid w:val="00C86832"/>
    <w:rsid w:val="00C9075A"/>
    <w:rsid w:val="00C907D9"/>
    <w:rsid w:val="00CA4817"/>
    <w:rsid w:val="00CB2ED8"/>
    <w:rsid w:val="00CB56B2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4A59"/>
    <w:rsid w:val="00D37FFD"/>
    <w:rsid w:val="00D4185B"/>
    <w:rsid w:val="00D41C73"/>
    <w:rsid w:val="00D45979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6479"/>
    <w:rsid w:val="00D8083B"/>
    <w:rsid w:val="00D80D41"/>
    <w:rsid w:val="00D81258"/>
    <w:rsid w:val="00D821EE"/>
    <w:rsid w:val="00D87A94"/>
    <w:rsid w:val="00D87D5F"/>
    <w:rsid w:val="00DB0FDC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365F"/>
    <w:rsid w:val="00E3541A"/>
    <w:rsid w:val="00E4261F"/>
    <w:rsid w:val="00E42E7B"/>
    <w:rsid w:val="00E42FCE"/>
    <w:rsid w:val="00E547E9"/>
    <w:rsid w:val="00E55913"/>
    <w:rsid w:val="00E578E1"/>
    <w:rsid w:val="00E60549"/>
    <w:rsid w:val="00E736BD"/>
    <w:rsid w:val="00E74128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3BC0"/>
    <w:rsid w:val="00EA4DE6"/>
    <w:rsid w:val="00EB61E0"/>
    <w:rsid w:val="00EB693E"/>
    <w:rsid w:val="00EC1128"/>
    <w:rsid w:val="00EC36D9"/>
    <w:rsid w:val="00EC3A01"/>
    <w:rsid w:val="00ED0E9D"/>
    <w:rsid w:val="00ED1F6A"/>
    <w:rsid w:val="00EE38DE"/>
    <w:rsid w:val="00EE6FDB"/>
    <w:rsid w:val="00EE79D6"/>
    <w:rsid w:val="00EF5D91"/>
    <w:rsid w:val="00EF68F3"/>
    <w:rsid w:val="00F0070A"/>
    <w:rsid w:val="00F04A15"/>
    <w:rsid w:val="00F06C29"/>
    <w:rsid w:val="00F214E7"/>
    <w:rsid w:val="00F24237"/>
    <w:rsid w:val="00F27E4F"/>
    <w:rsid w:val="00F303C0"/>
    <w:rsid w:val="00F36FDD"/>
    <w:rsid w:val="00F37517"/>
    <w:rsid w:val="00F40C3E"/>
    <w:rsid w:val="00F425C1"/>
    <w:rsid w:val="00F42B00"/>
    <w:rsid w:val="00F441DE"/>
    <w:rsid w:val="00F5074E"/>
    <w:rsid w:val="00F507F9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2D73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A07"/>
    <w:rPr>
      <w:rFonts w:ascii="Calibri" w:eastAsia="WenQuanYi Micro Hei" w:hAnsi="Calibri" w:cs="Calibri"/>
      <w:color w:val="00000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A07"/>
    <w:rPr>
      <w:rFonts w:ascii="Calibri" w:eastAsia="WenQuanYi Micro Hei" w:hAnsi="Calibri" w:cs="Calibri"/>
      <w:color w:val="00000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jan.domanov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ujn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0794-C0C6-426F-B991-6E3A36E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36</cp:revision>
  <dcterms:created xsi:type="dcterms:W3CDTF">2017-04-05T10:52:00Z</dcterms:created>
  <dcterms:modified xsi:type="dcterms:W3CDTF">2018-10-19T07:12:00Z</dcterms:modified>
</cp:coreProperties>
</file>