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66BD2" w14:textId="77777777" w:rsidR="0017436E" w:rsidRPr="00C62217" w:rsidRDefault="0017436E" w:rsidP="0017436E">
      <w:pPr>
        <w:tabs>
          <w:tab w:val="left" w:pos="720"/>
        </w:tabs>
        <w:suppressAutoHyphens/>
        <w:spacing w:before="60" w:after="60" w:line="240" w:lineRule="auto"/>
        <w:rPr>
          <w:rFonts w:ascii="Times New Roman" w:eastAsia="WenQuanYi Micro Hei" w:hAnsi="Times New Roman" w:cs="Times New Roman"/>
          <w:color w:val="00000A"/>
          <w:lang w:val="sr-Cyrl-C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17436E" w:rsidRPr="00C62217" w14:paraId="529A2DD5" w14:textId="77777777" w:rsidTr="00C62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1B2D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jc w:val="center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B22C" w14:textId="30D73699" w:rsidR="00E7160E" w:rsidRPr="00C62217" w:rsidRDefault="0017436E" w:rsidP="00E7160E">
            <w:pPr>
              <w:tabs>
                <w:tab w:val="left" w:pos="720"/>
              </w:tabs>
              <w:suppressAutoHyphens/>
              <w:spacing w:before="60" w:after="6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b/>
                <w:color w:val="00000A"/>
                <w:lang w:val="sr-Latn-CS"/>
              </w:rPr>
              <w:t xml:space="preserve">Nabavka </w:t>
            </w:r>
            <w:r w:rsidR="005372C5" w:rsidRPr="00C62217">
              <w:rPr>
                <w:rFonts w:ascii="Times New Roman" w:eastAsia="WenQuanYi Micro Hei" w:hAnsi="Times New Roman" w:cs="Times New Roman"/>
                <w:b/>
                <w:color w:val="00000A"/>
                <w:lang w:val="sr-Latn-CS"/>
              </w:rPr>
              <w:t xml:space="preserve"> </w:t>
            </w:r>
            <w:r w:rsidR="00BC6B22" w:rsidRPr="00C62217">
              <w:rPr>
                <w:rFonts w:ascii="Times New Roman" w:eastAsia="WenQuanYi Micro Hei" w:hAnsi="Times New Roman" w:cs="Times New Roman"/>
                <w:b/>
                <w:color w:val="00000A"/>
                <w:lang w:val="sr-Latn-CS"/>
              </w:rPr>
              <w:t>nepredviđenih radova na izgradnji višeporodičnih stambenih objekata na lokaciji Kruševac u okviru RHP programa – peti potprojekat</w:t>
            </w:r>
          </w:p>
          <w:p w14:paraId="0A434AD3" w14:textId="77777777" w:rsidR="0017436E" w:rsidRPr="00C62217" w:rsidRDefault="0017436E" w:rsidP="0017436E">
            <w:pPr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A"/>
                <w:lang w:val="sr-Latn-CS"/>
              </w:rPr>
            </w:pPr>
          </w:p>
        </w:tc>
      </w:tr>
      <w:tr w:rsidR="0017436E" w:rsidRPr="00C62217" w14:paraId="5A12B749" w14:textId="77777777" w:rsidTr="00C62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3285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jc w:val="center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18F7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b/>
                <w:color w:val="00000A"/>
                <w:lang w:val="sr-Latn-CS"/>
              </w:rPr>
              <w:t xml:space="preserve">OBAVEŠTENJE O POKRETANJU NABAVKE – PREGOVARAČKI POSTUPAK BEZ OBJAVLJIVANJA POZIVA ZA PODNOŠENJE PONUDA </w:t>
            </w:r>
          </w:p>
        </w:tc>
      </w:tr>
      <w:tr w:rsidR="0017436E" w:rsidRPr="00C62217" w14:paraId="08DF32B3" w14:textId="77777777" w:rsidTr="00C62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5984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E94F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162C77C8" w14:textId="77777777" w:rsidTr="00C62217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BCF0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4111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Broj publikacije: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0902" w14:textId="6253B57E" w:rsidR="0017436E" w:rsidRPr="00C62217" w:rsidRDefault="00BC6B22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lang w:val="en-US"/>
              </w:rPr>
              <w:t>RHP-W5-AB-ACW/NP2-2020</w:t>
            </w:r>
          </w:p>
        </w:tc>
      </w:tr>
      <w:tr w:rsidR="0017436E" w:rsidRPr="00C62217" w14:paraId="63BB8243" w14:textId="77777777" w:rsidTr="00C62217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F66B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3AA4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686B6D81" w14:textId="77777777" w:rsidTr="00C62217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38A1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4EBC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Program i finansiranje: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3865" w14:textId="77777777" w:rsidR="0017436E" w:rsidRPr="00C62217" w:rsidRDefault="0017436E" w:rsidP="0017436E">
            <w:pPr>
              <w:tabs>
                <w:tab w:val="left" w:pos="459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Zajednički regionalni program o trajnim rešenjima za izbeglice i raseljena lica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(Regional Housing Programme – RHP/ Regionalni stambeni program u Republici Srbiji)</w:t>
            </w:r>
            <w:r w:rsidRPr="00C62217">
              <w:rPr>
                <w:rFonts w:ascii="Times New Roman" w:eastAsia="WenQuanYi Micro Hei" w:hAnsi="Times New Roman" w:cs="Times New Roman"/>
                <w:color w:val="00000A"/>
              </w:rPr>
              <w:t>.</w:t>
            </w:r>
          </w:p>
          <w:p w14:paraId="236B5A14" w14:textId="0F0FB1FD" w:rsidR="0017436E" w:rsidRPr="00C62217" w:rsidRDefault="0017436E" w:rsidP="00BC6B22">
            <w:pPr>
              <w:tabs>
                <w:tab w:val="left" w:pos="459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Okvirni sporazum zaključen između Banke za razvoj saveta Evrope i Republike Srbije u vezi sa Regionalnim programom stambenog zbrinjavanja, potpisan 25. oktobra 2013. godine i Ugovor o donaciji zaključen između Banke za razvoj saveta Evrope i Republike Srbije u vezi sa realizacijom </w:t>
            </w:r>
            <w:r w:rsidR="00BC6B22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pet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og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potprojekta  Regionalnog programa stambenog zbrinjavanja, potpisanog </w:t>
            </w:r>
            <w:r w:rsidR="00BC6B22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14. avgust</w:t>
            </w:r>
            <w:r w:rsidR="00E3166D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a 201</w:t>
            </w:r>
            <w:r w:rsidR="00BC6B22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5</w:t>
            </w:r>
            <w:r w:rsidR="00267A9A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. godine</w:t>
            </w:r>
            <w:r w:rsidR="00BC124B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 i Aneksa Ugovora o donaciji zaključen između Banke za razvoj saveta Evrope i Republike Srbije u vezi sa realizacijom petog potprojekta  Regionalnog programa stambenog zbrinjavanja 02. oktobra 2018. godine</w:t>
            </w:r>
          </w:p>
        </w:tc>
      </w:tr>
      <w:tr w:rsidR="0017436E" w:rsidRPr="00C62217" w14:paraId="39754B2F" w14:textId="77777777" w:rsidTr="00C62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EF90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5142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3741C9BC" w14:textId="77777777" w:rsidTr="00C62217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2DBA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28BE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Ime Naručioca: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B147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«Jedinica za upravljanje projektima u javnom sektoru» d.o.o. Beograd </w:t>
            </w:r>
          </w:p>
        </w:tc>
      </w:tr>
      <w:tr w:rsidR="0017436E" w:rsidRPr="00C62217" w14:paraId="44B6FE68" w14:textId="77777777" w:rsidTr="00C62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FC13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4961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</w:tr>
      <w:tr w:rsidR="0017436E" w:rsidRPr="00C62217" w14:paraId="780ED730" w14:textId="77777777" w:rsidTr="00C62217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B279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ABDE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Adresa Naručioca: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2A4F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22-26 Nemanjina, 11000 Beograd, Srbija</w:t>
            </w:r>
          </w:p>
        </w:tc>
      </w:tr>
      <w:tr w:rsidR="0017436E" w:rsidRPr="00C62217" w14:paraId="07E64E3C" w14:textId="77777777" w:rsidTr="00C62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3902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E336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78B03611" w14:textId="77777777" w:rsidTr="00C62217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0F71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2C02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Internet adresa Naručioca: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06EC" w14:textId="77777777" w:rsidR="0017436E" w:rsidRPr="00C62217" w:rsidRDefault="008254E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hyperlink r:id="rId7" w:history="1">
              <w:r w:rsidR="0017436E" w:rsidRPr="00C62217">
                <w:rPr>
                  <w:rFonts w:ascii="Times New Roman" w:eastAsia="WenQuanYi Micro Hei" w:hAnsi="Times New Roman" w:cs="Times New Roman"/>
                  <w:color w:val="0000FF"/>
                  <w:u w:val="single"/>
                  <w:lang w:val="sr-Cyrl-CS"/>
                </w:rPr>
                <w:t>www.piu.rs</w:t>
              </w:r>
            </w:hyperlink>
          </w:p>
        </w:tc>
      </w:tr>
      <w:tr w:rsidR="0017436E" w:rsidRPr="00C62217" w14:paraId="72246EEA" w14:textId="77777777" w:rsidTr="00C62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1C12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959C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ind w:left="720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0DB7E7FB" w14:textId="77777777" w:rsidTr="00C62217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00C3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3F7D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Tip javne nabavke: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619F" w14:textId="77777777" w:rsidR="0017436E" w:rsidRPr="00C62217" w:rsidRDefault="0017436E" w:rsidP="0017436E">
            <w:pPr>
              <w:tabs>
                <w:tab w:val="left" w:pos="36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Pregovarački postupak bez objavljivanja poziva za podnošenje ponuda </w:t>
            </w:r>
          </w:p>
        </w:tc>
      </w:tr>
      <w:tr w:rsidR="0017436E" w:rsidRPr="00C62217" w14:paraId="6B8C2982" w14:textId="77777777" w:rsidTr="00C62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4C24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F79D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ind w:left="720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</w:tr>
      <w:tr w:rsidR="0017436E" w:rsidRPr="00C62217" w14:paraId="1CD13E07" w14:textId="77777777" w:rsidTr="00C62217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5A82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17D9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Tip ugovora: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CBF4" w14:textId="1BB520AA" w:rsidR="0017436E" w:rsidRPr="00C62217" w:rsidRDefault="0017436E" w:rsidP="0017436E">
            <w:pPr>
              <w:tabs>
                <w:tab w:val="left" w:pos="295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Aneks Ugovora o izvođenju </w:t>
            </w:r>
            <w:r w:rsidR="00F227F6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nepredviđenih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radova </w:t>
            </w:r>
          </w:p>
          <w:p w14:paraId="0294AD83" w14:textId="1C88B21B" w:rsidR="0017436E" w:rsidRPr="00C62217" w:rsidRDefault="0017436E" w:rsidP="0017436E">
            <w:pPr>
              <w:tabs>
                <w:tab w:val="left" w:pos="295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</w:tr>
      <w:tr w:rsidR="0017436E" w:rsidRPr="00C62217" w14:paraId="47A97F3D" w14:textId="77777777" w:rsidTr="00C62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584E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9D6B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šifra iz ORN: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 </w:t>
            </w:r>
            <w:r w:rsidRPr="00C62217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45211100 – </w:t>
            </w:r>
            <w:r w:rsidRPr="00C62217">
              <w:rPr>
                <w:rFonts w:ascii="Times New Roman" w:eastAsia="Calibri" w:hAnsi="Times New Roman" w:cs="Times New Roman"/>
                <w:b/>
                <w:lang w:val="sr-Latn-CS"/>
              </w:rPr>
              <w:t>Radovi na izgradnji zgrada</w:t>
            </w:r>
          </w:p>
          <w:p w14:paraId="5DA5EF60" w14:textId="77777777" w:rsidR="00B77F27" w:rsidRPr="00C62217" w:rsidRDefault="00B77F27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  <w:p w14:paraId="5C42C806" w14:textId="77777777" w:rsidR="0017436E" w:rsidRPr="00C62217" w:rsidRDefault="00E3166D" w:rsidP="000942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</w:pPr>
            <w:r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 xml:space="preserve">U okviru </w:t>
            </w:r>
            <w:r w:rsidR="000942FB"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>petog</w:t>
            </w:r>
            <w:r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 xml:space="preserve"> potprojekta Regionalnog programa stambenog zbrinjavanja u Republici Srbiji, nakon sprovedenog postupka nabavke br. </w:t>
            </w:r>
            <w:r w:rsidR="000942FB" w:rsidRPr="00C6221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RHP-W5-AB/IOP1-2017</w:t>
            </w:r>
            <w:r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 xml:space="preserve">, čiji je predmet nabavka izvođenja radova za izgradnju višeporodičnih stambenih objekata, za partiju </w:t>
            </w:r>
            <w:r w:rsidR="000942FB"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>2</w:t>
            </w:r>
            <w:r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 xml:space="preserve"> – lokacija </w:t>
            </w:r>
            <w:r w:rsidR="000942FB"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lastRenderedPageBreak/>
              <w:t>Kruševac</w:t>
            </w:r>
            <w:r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 xml:space="preserve">, zaključen je Ugovor o izvođenju radova između „Jedinice za upravljanje projektima u javnom sektoru“ d.o.o. Beograd, kao Naručioca, i </w:t>
            </w:r>
            <w:r w:rsidR="000942FB"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>grupe ponuđača SZTR „Ljuba-Invest“ Bogoljub Milenović preduzetnik, ul. Knjaza Miloša bb, 35250 Paraćin i „Modulor“ d.o.o. Beograd, ul. Nikolaja Saltikova br. 61, 11000 Beograd</w:t>
            </w:r>
            <w:r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 xml:space="preserve">, kao Izvođača (kod Naručioca zaveden pod brojem </w:t>
            </w:r>
            <w:r w:rsidR="000942FB" w:rsidRPr="00C62217">
              <w:rPr>
                <w:rFonts w:ascii="Times New Roman" w:eastAsia="Calibri" w:hAnsi="Times New Roman" w:cs="Times New Roman"/>
                <w:color w:val="000000" w:themeColor="text1"/>
                <w:lang w:val="sr-Cyrl-CS"/>
              </w:rPr>
              <w:t>3330 од 20</w:t>
            </w:r>
            <w:r w:rsidR="000942FB"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>.6</w:t>
            </w:r>
            <w:r w:rsidR="000942FB" w:rsidRPr="00C62217">
              <w:rPr>
                <w:rFonts w:ascii="Times New Roman" w:eastAsia="Calibri" w:hAnsi="Times New Roman" w:cs="Times New Roman"/>
                <w:color w:val="000000" w:themeColor="text1"/>
                <w:lang w:val="sr-Cyrl-CS"/>
              </w:rPr>
              <w:t>.2018. године</w:t>
            </w:r>
            <w:r w:rsidRPr="00C62217">
              <w:rPr>
                <w:rFonts w:ascii="Times New Roman" w:eastAsia="Calibri" w:hAnsi="Times New Roman" w:cs="Times New Roman"/>
                <w:color w:val="000000" w:themeColor="text1"/>
                <w:lang w:val="sr-Latn-CS"/>
              </w:rPr>
              <w:t>) – (u daljem tekstu: osnovni Ugovor). Tokom realizacije predmetnog Ugovora javila se potreba za izvođenjem nepredviđenih radova, te se pokreće pregovarački postupak bez objavljivanja poziva za podnošenje ponuda radi zaključenja aneksa osnovnog Ugovora.</w:t>
            </w:r>
          </w:p>
          <w:p w14:paraId="7AFFF010" w14:textId="41DD278B" w:rsidR="00B77F27" w:rsidRPr="00C62217" w:rsidRDefault="00B77F27" w:rsidP="000942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23EFF3FE" w14:textId="77777777" w:rsidTr="00C62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1084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6B1F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Broj partije ukoliko je ugovor podeljen na partije: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75EE" w14:textId="2DD3A1A9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Nabavka </w:t>
            </w:r>
            <w:r w:rsidR="00B01B6C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ni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je podeljena na partije.</w:t>
            </w:r>
          </w:p>
        </w:tc>
      </w:tr>
      <w:tr w:rsidR="0017436E" w:rsidRPr="00C62217" w14:paraId="11781DBA" w14:textId="77777777" w:rsidTr="00C62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2A85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0297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Maksimalni budžet ugovora: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1F45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lang w:val="sr-Latn-CS"/>
              </w:rPr>
              <w:t>Procenjena vrednost nabavke iznosi:</w:t>
            </w:r>
          </w:p>
          <w:p w14:paraId="40803E00" w14:textId="14E28532" w:rsidR="0017436E" w:rsidRPr="00C62217" w:rsidRDefault="00BC6B22" w:rsidP="0017436E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b/>
                <w:lang w:val="sr-Cyrl-CS"/>
              </w:rPr>
              <w:t xml:space="preserve">16.845,88 </w:t>
            </w:r>
            <w:r w:rsidR="0017436E" w:rsidRPr="00C62217">
              <w:rPr>
                <w:rFonts w:ascii="Times New Roman" w:eastAsia="Calibri" w:hAnsi="Times New Roman" w:cs="Times New Roman"/>
                <w:b/>
                <w:lang w:val="sr-Latn-CS"/>
              </w:rPr>
              <w:t>EUR</w:t>
            </w:r>
            <w:r w:rsidR="0017436E" w:rsidRPr="00C62217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="0017436E" w:rsidRPr="00C62217">
              <w:rPr>
                <w:rFonts w:ascii="Times New Roman" w:eastAsia="Calibri" w:hAnsi="Times New Roman" w:cs="Times New Roman"/>
                <w:b/>
                <w:lang w:val="sr-Latn-CS"/>
              </w:rPr>
              <w:t>bez</w:t>
            </w:r>
            <w:r w:rsidR="0017436E" w:rsidRPr="00C62217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="0017436E" w:rsidRPr="00C62217">
              <w:rPr>
                <w:rFonts w:ascii="Times New Roman" w:eastAsia="Calibri" w:hAnsi="Times New Roman" w:cs="Times New Roman"/>
                <w:b/>
                <w:lang w:val="sr-Latn-CS"/>
              </w:rPr>
              <w:t>PDV</w:t>
            </w:r>
          </w:p>
          <w:p w14:paraId="6B454F9F" w14:textId="77777777" w:rsidR="0017436E" w:rsidRPr="00C62217" w:rsidRDefault="0017436E" w:rsidP="0017436E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  <w:p w14:paraId="6BCF7994" w14:textId="77777777" w:rsidR="0017436E" w:rsidRPr="00C62217" w:rsidRDefault="0017436E" w:rsidP="002E3EBE">
            <w:pPr>
              <w:tabs>
                <w:tab w:val="left" w:pos="0"/>
              </w:tabs>
              <w:contextualSpacing/>
              <w:jc w:val="both"/>
              <w:rPr>
                <w:rFonts w:ascii="Times New Roman" w:eastAsia="WenQuanYi Micro Hei" w:hAnsi="Times New Roman" w:cs="Times New Roman"/>
                <w:b/>
                <w:lang w:val="sr-Latn-CS"/>
              </w:rPr>
            </w:pPr>
          </w:p>
        </w:tc>
      </w:tr>
      <w:tr w:rsidR="0017436E" w:rsidRPr="00C62217" w14:paraId="02A82625" w14:textId="77777777" w:rsidTr="00C62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1EE5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051F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Trajanje i tip okvirnog ugovora (okvirni ugovor sa jednim dobavljačem ili sa više dobavljača) ako se zaključuje okvirni ugovor:</w:t>
            </w:r>
          </w:p>
        </w:tc>
      </w:tr>
      <w:tr w:rsidR="0017436E" w:rsidRPr="00C62217" w14:paraId="6889C18D" w14:textId="77777777" w:rsidTr="00C62217">
        <w:trPr>
          <w:trHeight w:val="50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0F8B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0085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Nije primenljivo</w:t>
            </w:r>
          </w:p>
        </w:tc>
      </w:tr>
      <w:tr w:rsidR="0017436E" w:rsidRPr="00C62217" w14:paraId="4235E0CE" w14:textId="77777777" w:rsidTr="00C62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2793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F4B7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</w:tr>
      <w:tr w:rsidR="0017436E" w:rsidRPr="00C62217" w14:paraId="17051574" w14:textId="77777777" w:rsidTr="00C62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0DE3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8924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Kriterijumi kvalifikacije:</w:t>
            </w:r>
          </w:p>
        </w:tc>
      </w:tr>
      <w:tr w:rsidR="0017436E" w:rsidRPr="00C62217" w14:paraId="79E4EB0C" w14:textId="77777777" w:rsidTr="00C62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C1C8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E9CC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Pravo učešća ima ponuđač kome je upućen poziv za podnošenje ponuda u predmetnom pregovaračkom postupku, a koji ispunjava kriterijume za učešće definisane u delu tenderske dokumenacije: Uputstvo za ponuđače, Odeljak 3: Pravo učešća, kao i uslove definisane u  Vodiču za nabavku dobara, radova i usluga Banke za razvoj saveta Evrope; Odeljak 3.3: Podobnost za učestvovanje u postupku i obezbeđivanje dobara, radova i usluga.</w:t>
            </w:r>
          </w:p>
          <w:p w14:paraId="63F86372" w14:textId="0DB627BA" w:rsidR="0017436E" w:rsidRPr="00C62217" w:rsidRDefault="008254E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FF"/>
                <w:u w:val="single"/>
                <w:lang w:val="sr-Cyrl-CS"/>
              </w:rPr>
            </w:pPr>
            <w:hyperlink r:id="rId8" w:history="1">
              <w:r w:rsidR="008E16EA" w:rsidRPr="00C62217">
                <w:rPr>
                  <w:rStyle w:val="Hyperlink"/>
                  <w:rFonts w:ascii="Times New Roman" w:eastAsia="WenQuanYi Micro Hei" w:hAnsi="Times New Roman" w:cs="Times New Roman"/>
                  <w:lang w:val="sr-Cyrl-CS"/>
                </w:rPr>
                <w:t>https://coebank.org/en/about/policies-and-guidelines/projects-and-loans-policies-and-guidelines/</w:t>
              </w:r>
            </w:hyperlink>
          </w:p>
          <w:p w14:paraId="76C836A2" w14:textId="66B6DDF7" w:rsidR="008E16EA" w:rsidRPr="00C62217" w:rsidRDefault="008E16EA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FF"/>
                <w:u w:val="single"/>
                <w:lang w:val="sr-Cyrl-CS"/>
              </w:rPr>
            </w:pPr>
            <w:r w:rsidRPr="00C62217">
              <w:rPr>
                <w:rFonts w:ascii="Times New Roman" w:eastAsia="Calibri" w:hAnsi="Times New Roman" w:cs="Times New Roman"/>
                <w:lang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9" w:anchor="/main" w:history="1">
              <w:r w:rsidRPr="00C62217">
                <w:rPr>
                  <w:rFonts w:ascii="Times New Roman" w:eastAsia="Calibri" w:hAnsi="Times New Roman" w:cs="Times New Roman"/>
                  <w:color w:val="0563C1"/>
                  <w:u w:val="single"/>
                  <w:lang w:eastAsia="sr-Latn-RS"/>
                </w:rPr>
                <w:t>https://www.sanctionsmap.eu/#/main</w:t>
              </w:r>
            </w:hyperlink>
            <w:r w:rsidRPr="00C62217">
              <w:rPr>
                <w:rFonts w:ascii="Times New Roman" w:eastAsia="Calibri" w:hAnsi="Times New Roman" w:cs="Times New Roman"/>
                <w:lang w:eastAsia="sr-Latn-RS"/>
              </w:rPr>
              <w:t xml:space="preserve"> .</w:t>
            </w:r>
          </w:p>
        </w:tc>
      </w:tr>
      <w:tr w:rsidR="0017436E" w:rsidRPr="00C62217" w14:paraId="7344FEDA" w14:textId="77777777" w:rsidTr="00C62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117C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B211" w14:textId="77777777" w:rsidR="00B77F27" w:rsidRPr="00C62217" w:rsidRDefault="00B77F27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7B14CD1D" w14:textId="77777777" w:rsidTr="00C62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F8BE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5B21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Kriterijumi izbora:</w:t>
            </w:r>
          </w:p>
        </w:tc>
      </w:tr>
      <w:tr w:rsidR="0017436E" w:rsidRPr="00C62217" w14:paraId="79BCAC81" w14:textId="77777777" w:rsidTr="00C62217">
        <w:trPr>
          <w:trHeight w:val="5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C05A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2F68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lang w:val="sr-Cyrl-CS"/>
              </w:rPr>
              <w:t>Nije primenljivo</w:t>
            </w:r>
          </w:p>
        </w:tc>
      </w:tr>
      <w:tr w:rsidR="0017436E" w:rsidRPr="00C62217" w14:paraId="2A27D5B5" w14:textId="77777777" w:rsidTr="00C62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B74A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BE96" w14:textId="77777777" w:rsidR="0017436E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  <w:p w14:paraId="6C6A6E8F" w14:textId="77777777" w:rsidR="00C62217" w:rsidRDefault="00C62217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  <w:p w14:paraId="72AE7768" w14:textId="77777777" w:rsidR="00C62217" w:rsidRPr="00C62217" w:rsidRDefault="00C62217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</w:tr>
      <w:tr w:rsidR="0017436E" w:rsidRPr="00C62217" w14:paraId="0041C115" w14:textId="77777777" w:rsidTr="00C62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3D38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7D96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Kriterijum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 za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 dodel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u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 ugovora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: </w:t>
            </w:r>
          </w:p>
        </w:tc>
      </w:tr>
      <w:tr w:rsidR="0017436E" w:rsidRPr="00C62217" w14:paraId="61570EDC" w14:textId="77777777" w:rsidTr="00C62217">
        <w:trPr>
          <w:trHeight w:val="4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F115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A427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highlight w:val="yellow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lang w:val="sr-Latn-CS"/>
              </w:rPr>
              <w:t>Najniža ponuđena cena.</w:t>
            </w:r>
          </w:p>
        </w:tc>
      </w:tr>
      <w:tr w:rsidR="0017436E" w:rsidRPr="00C62217" w14:paraId="3BD29467" w14:textId="77777777" w:rsidTr="00C62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EB95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8EEA" w14:textId="70783FB3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Elementi ugovora o koj</w:t>
            </w:r>
            <w:r w:rsidR="00C1416B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i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ma će se pregovarati i način pregovaranja</w:t>
            </w:r>
          </w:p>
        </w:tc>
      </w:tr>
      <w:tr w:rsidR="0017436E" w:rsidRPr="00C62217" w14:paraId="6C928EB6" w14:textId="77777777" w:rsidTr="00C62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14C1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E1B8" w14:textId="17DA568D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Element ugovora o kojem se pregovara je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 ponuđena cena </w:t>
            </w:r>
            <w:r w:rsidR="00A26D42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za </w:t>
            </w:r>
            <w:r w:rsidR="008E16EA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nepredviđene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radove.   </w:t>
            </w:r>
          </w:p>
          <w:p w14:paraId="319C0CC3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Postupak pregovaranja sprovodi Komisija za nabavku.</w:t>
            </w:r>
          </w:p>
          <w:p w14:paraId="4AA2622A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O postupku pregovaranja Komisija vodi zapisnik.</w:t>
            </w:r>
          </w:p>
          <w:p w14:paraId="529CD07B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Predsednik Komisije za nabavku upoznaće učesnika sa postupkom pregovaranja i pravilima postupka.</w:t>
            </w:r>
          </w:p>
          <w:p w14:paraId="64F6D5C0" w14:textId="1E7EE8DA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Postupku pregovaranja će se pristupiti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sa ponuđačem koji je dostavio ponudu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, nakon izvršene stručne ocene ponude, po pozivu Naručioca,</w:t>
            </w:r>
            <w:r w:rsidR="00267A9A"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najkasnije u roku od 2 (dva) dana od dana otvaranja ponude. O tačnom vremenu sprovođenja postupaka pregovaranja, sekretar Komisije će pisanim putem obavestiti ponuđača.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Naručilac će sa ponuđačem obaviti jedan krug pregovaranja, nakon čega će se ponuđena cena smatrati konačnom. Ovlašćeni predstavnik ponuđača je u obavezi da dostavi Ovlašćenje za prisustvovanje pregovorima, potpisivanje Obrasca za pregovore i Zapisnika o pregovaranju.</w:t>
            </w:r>
          </w:p>
          <w:p w14:paraId="6C730322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U postupku pregovaranja ne može se ponuditi viša cena od cene iskazane u dostavljenoj ponudi. </w:t>
            </w:r>
          </w:p>
          <w:p w14:paraId="134C2E22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Ako ovlašćeni predstavnik ponuđača ne prisustvuje pregovaračkom postupku smatraće se njegovom konačnom cenom ona cena koja je navedena u dostavljenoj ponudi.</w:t>
            </w:r>
          </w:p>
        </w:tc>
      </w:tr>
      <w:tr w:rsidR="0017436E" w:rsidRPr="00C62217" w14:paraId="137F075C" w14:textId="77777777" w:rsidTr="00C62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DD71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25AB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7701306F" w14:textId="77777777" w:rsidTr="00C62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2007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6A96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Pristup tenderskoj dokumentaciji, internet adresa sa koje se mogu preuzeti tenderska dokumenta: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BF40" w14:textId="77777777" w:rsidR="0017436E" w:rsidRPr="00C62217" w:rsidRDefault="008254E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hyperlink r:id="rId10" w:history="1">
              <w:r w:rsidR="0017436E" w:rsidRPr="00C62217">
                <w:rPr>
                  <w:rFonts w:ascii="Times New Roman" w:eastAsia="WenQuanYi Micro Hei" w:hAnsi="Times New Roman" w:cs="Times New Roman"/>
                  <w:color w:val="00000A"/>
                  <w:lang w:val="sr-Cyrl-CS"/>
                </w:rPr>
                <w:t>http://www.piu.rs</w:t>
              </w:r>
            </w:hyperlink>
          </w:p>
          <w:p w14:paraId="5559F462" w14:textId="77777777" w:rsidR="0017436E" w:rsidRPr="00C62217" w:rsidRDefault="008254E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hyperlink r:id="rId11" w:history="1">
              <w:r w:rsidR="0017436E" w:rsidRPr="00C62217">
                <w:rPr>
                  <w:rFonts w:ascii="Times New Roman" w:eastAsia="WenQuanYi Micro Hei" w:hAnsi="Times New Roman" w:cs="Times New Roman"/>
                  <w:color w:val="00000A"/>
                  <w:lang w:val="sr-Cyrl-CS"/>
                </w:rPr>
                <w:t>http://portal.ujn.gov.rs</w:t>
              </w:r>
            </w:hyperlink>
          </w:p>
        </w:tc>
      </w:tr>
      <w:tr w:rsidR="0017436E" w:rsidRPr="00C62217" w14:paraId="58C8AEA8" w14:textId="77777777" w:rsidTr="00C62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148E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335F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0C9DD0FB" w14:textId="77777777" w:rsidTr="00C62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59A5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D706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Adresa i internet stranica državnog, regionalnog ili lokalnog organa gde se zainteresovani mogu informisati o porezima, propisima o zaštiti životne sredine, zapošljavanju i uslovima rada:</w:t>
            </w:r>
          </w:p>
        </w:tc>
      </w:tr>
      <w:tr w:rsidR="0017436E" w:rsidRPr="00C62217" w14:paraId="6F8B6F86" w14:textId="77777777" w:rsidTr="00C62217">
        <w:trPr>
          <w:trHeight w:val="45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F1D2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C774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</w:rPr>
              <w:t>-</w:t>
            </w:r>
          </w:p>
        </w:tc>
      </w:tr>
      <w:tr w:rsidR="0017436E" w:rsidRPr="00C62217" w14:paraId="01F0C6E9" w14:textId="77777777" w:rsidTr="00C62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6555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F3F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7C779D" w:rsidRPr="00C62217" w14:paraId="0EA362DB" w14:textId="77777777" w:rsidTr="00C62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604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C1DE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Podnošenje ponuda, rok za podnošenje ponuda: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24C7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Latn-CS"/>
              </w:rPr>
              <w:t xml:space="preserve">Ponuda se dostavlja preporučenom pošiljkom sa povratnicom, ili u slučaju ličnog dostavljanja sa predatom potvrdom o prijemu ponude. 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>Ponuda se mora podneti na sledeću adresu: «Jedinica za upravljanje projek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Latn-CS"/>
              </w:rPr>
              <w:t>tima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 xml:space="preserve"> u javnom sektoru» d.o.o. Beograd, Veljka Dugoševića 54, 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Latn-CS"/>
              </w:rPr>
              <w:t>peti sprat - pisarnica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>, 11000, Beograd, Srbija.</w:t>
            </w:r>
          </w:p>
          <w:p w14:paraId="4537A74B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>Ukoliko se ponuda dostavlja lično, adresa za dostavljanje je: «Jedinica za upravljanje projek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Latn-CS"/>
              </w:rPr>
              <w:t>tima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 xml:space="preserve"> u javnom sektoru» d.o.o.  Beograd, Veljka Dugoševića 54, 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Latn-CS"/>
              </w:rPr>
              <w:t>peti sprat - pisarnica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>, 11000, Beograd, Srbija, u periodu od 09:00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en-US"/>
              </w:rPr>
              <w:t xml:space="preserve">h 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 xml:space="preserve"> do 15:30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en-US"/>
              </w:rPr>
              <w:t>h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>.</w:t>
            </w:r>
          </w:p>
          <w:p w14:paraId="0319C4E6" w14:textId="2A886810" w:rsidR="0017436E" w:rsidRPr="00C62217" w:rsidRDefault="0017436E" w:rsidP="00C62217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>Krajnji</w:t>
            </w:r>
            <w:r w:rsid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 xml:space="preserve"> rok za dostavljanje ponuda je: </w:t>
            </w:r>
            <w:r w:rsidR="00C62217" w:rsidRP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sr-Cyrl-CS"/>
              </w:rPr>
              <w:t>3.3.2020.</w:t>
            </w:r>
            <w:r w:rsid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 xml:space="preserve"> </w:t>
            </w:r>
            <w:r w:rsidRP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sr-Cyrl-CS"/>
              </w:rPr>
              <w:t xml:space="preserve">godine, do </w:t>
            </w:r>
            <w:r w:rsid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sr-Latn-CS"/>
              </w:rPr>
              <w:t>11</w:t>
            </w:r>
            <w:r w:rsidRP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sr-Cyrl-CS"/>
              </w:rPr>
              <w:t xml:space="preserve"> časova</w:t>
            </w:r>
            <w:r w:rsidRP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en-US"/>
              </w:rPr>
              <w:t>.</w:t>
            </w:r>
          </w:p>
        </w:tc>
      </w:tr>
      <w:tr w:rsidR="007C779D" w:rsidRPr="00C62217" w14:paraId="20DAC966" w14:textId="77777777" w:rsidTr="00C62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20FC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4194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</w:pPr>
          </w:p>
        </w:tc>
      </w:tr>
      <w:tr w:rsidR="007C779D" w:rsidRPr="00C62217" w14:paraId="1104C0D4" w14:textId="77777777" w:rsidTr="00C62217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00A3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11A1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Sastanak za otvaranje ponuda – datum, vreme i mesto: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31F7" w14:textId="145A9523" w:rsidR="0017436E" w:rsidRPr="00C62217" w:rsidRDefault="0017436E" w:rsidP="00C62217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 xml:space="preserve">Otvaranje ponuda 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Latn-CS"/>
              </w:rPr>
              <w:t xml:space="preserve">će se </w:t>
            </w:r>
            <w:proofErr w:type="spellStart"/>
            <w:r w:rsidR="00C62217">
              <w:rPr>
                <w:rFonts w:ascii="Times New Roman" w:eastAsia="WenQuanYi Micro Hei" w:hAnsi="Times New Roman" w:cs="Times New Roman"/>
                <w:color w:val="000000" w:themeColor="text1"/>
                <w:lang w:val="en-GB"/>
              </w:rPr>
              <w:t>održati</w:t>
            </w:r>
            <w:proofErr w:type="spellEnd"/>
            <w:r w:rsidR="00C62217">
              <w:rPr>
                <w:rFonts w:ascii="Times New Roman" w:eastAsia="WenQuanYi Micro Hei" w:hAnsi="Times New Roman" w:cs="Times New Roman"/>
                <w:color w:val="000000" w:themeColor="text1"/>
                <w:lang w:val="en-GB"/>
              </w:rPr>
              <w:t xml:space="preserve"> </w:t>
            </w:r>
            <w:r w:rsidR="00C62217" w:rsidRP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en-GB"/>
              </w:rPr>
              <w:t>3.3.2020.</w:t>
            </w:r>
            <w:r w:rsidR="00C62217">
              <w:rPr>
                <w:rFonts w:ascii="Times New Roman" w:eastAsia="WenQuanYi Micro Hei" w:hAnsi="Times New Roman" w:cs="Times New Roman"/>
                <w:color w:val="000000" w:themeColor="text1"/>
                <w:lang w:val="en-GB"/>
              </w:rPr>
              <w:t xml:space="preserve"> </w:t>
            </w:r>
            <w:r w:rsidR="00FE6715" w:rsidRP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sr-Latn-CS"/>
              </w:rPr>
              <w:t>godine</w:t>
            </w:r>
            <w:r w:rsidRP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sr-Cyrl-CS"/>
              </w:rPr>
              <w:t xml:space="preserve">, u </w:t>
            </w:r>
            <w:r w:rsidR="00FE6715" w:rsidRP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sr-Latn-CS"/>
              </w:rPr>
              <w:t>11</w:t>
            </w:r>
            <w:r w:rsid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sr-Latn-CS"/>
              </w:rPr>
              <w:t>:30</w:t>
            </w:r>
            <w:r w:rsidRPr="00C62217">
              <w:rPr>
                <w:rFonts w:ascii="Times New Roman" w:eastAsia="WenQuanYi Micro Hei" w:hAnsi="Times New Roman" w:cs="Times New Roman"/>
                <w:b/>
                <w:color w:val="000000" w:themeColor="text1"/>
                <w:lang w:val="sr-Cyrl-CS"/>
              </w:rPr>
              <w:t xml:space="preserve"> časova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>, u prostorijama «Jedinice za upravljanje projekt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Latn-CS"/>
              </w:rPr>
              <w:t>ima</w:t>
            </w:r>
            <w:r w:rsidRPr="00C62217">
              <w:rPr>
                <w:rFonts w:ascii="Times New Roman" w:eastAsia="WenQuanYi Micro Hei" w:hAnsi="Times New Roman" w:cs="Times New Roman"/>
                <w:color w:val="000000" w:themeColor="text1"/>
                <w:lang w:val="sr-Cyrl-CS"/>
              </w:rPr>
              <w:t xml:space="preserve"> u javnom sektoru» d.o.o.  Beograd,  Veljka Dugoševića 54, peti sprat, Beograd.</w:t>
            </w:r>
          </w:p>
        </w:tc>
      </w:tr>
      <w:tr w:rsidR="0017436E" w:rsidRPr="00C62217" w14:paraId="1265ACD4" w14:textId="77777777" w:rsidTr="00C62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2E4C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1D09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</w:tr>
      <w:tr w:rsidR="0017436E" w:rsidRPr="00C62217" w14:paraId="6763DEC8" w14:textId="77777777" w:rsidTr="00C62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EA39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8929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Uslovi za učešće na sastanku za otvaranje ponuda:</w:t>
            </w:r>
          </w:p>
        </w:tc>
      </w:tr>
      <w:tr w:rsidR="0017436E" w:rsidRPr="00C62217" w14:paraId="169C07A0" w14:textId="77777777" w:rsidTr="00C62217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8647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5A03" w14:textId="5BBB9B2C" w:rsidR="0017436E" w:rsidRPr="00C62217" w:rsidRDefault="00023B5B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Naručilac će ponude otvarati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 javno i otvaranju može prisustvovati svako zainteresovano lice,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u vreme i na mestu određenom u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ovom Obaveštenju o pokretanju postupka nabavke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 i Uputstvu za ponuđače.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u obavezi da dostave ovlašćenje za prisustvovanje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 otvaranju ponuda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 i potpisivanje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 xml:space="preserve"> zapisnika o otvaranju ponuda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.</w:t>
            </w:r>
          </w:p>
        </w:tc>
      </w:tr>
      <w:tr w:rsidR="0017436E" w:rsidRPr="00C62217" w14:paraId="6B217DD8" w14:textId="77777777" w:rsidTr="00C62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3321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6710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77259B3F" w14:textId="77777777" w:rsidTr="00C62217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A7AC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7A61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Rok za donošenje odluke o dodeli ugovora: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AFB0" w14:textId="77777777" w:rsidR="0017436E" w:rsidRPr="00C62217" w:rsidRDefault="0017436E" w:rsidP="0017436E">
            <w:pPr>
              <w:spacing w:after="0" w:line="240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U </w:t>
            </w:r>
            <w:proofErr w:type="spellStart"/>
            <w:r w:rsidRPr="00C62217">
              <w:rPr>
                <w:rFonts w:ascii="Times New Roman" w:eastAsia="Calibri" w:hAnsi="Times New Roman" w:cs="Times New Roman"/>
                <w:lang w:val="en-US"/>
              </w:rPr>
              <w:t>roku</w:t>
            </w:r>
            <w:proofErr w:type="spellEnd"/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 od 3 (tri) </w:t>
            </w:r>
            <w:proofErr w:type="spellStart"/>
            <w:r w:rsidRPr="00C62217">
              <w:rPr>
                <w:rFonts w:ascii="Times New Roman" w:eastAsia="Calibri" w:hAnsi="Times New Roman" w:cs="Times New Roman"/>
                <w:lang w:val="en-US"/>
              </w:rPr>
              <w:t>radna</w:t>
            </w:r>
            <w:proofErr w:type="spellEnd"/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 dana od dana </w:t>
            </w:r>
            <w:proofErr w:type="spellStart"/>
            <w:r w:rsidRPr="00C62217">
              <w:rPr>
                <w:rFonts w:ascii="Times New Roman" w:eastAsia="Calibri" w:hAnsi="Times New Roman" w:cs="Times New Roman"/>
                <w:lang w:val="en-US"/>
              </w:rPr>
              <w:t>potvrde</w:t>
            </w:r>
            <w:proofErr w:type="spellEnd"/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62217">
              <w:rPr>
                <w:rFonts w:ascii="Times New Roman" w:eastAsia="Calibri" w:hAnsi="Times New Roman" w:cs="Times New Roman"/>
                <w:lang w:val="en-US"/>
              </w:rPr>
              <w:t>Banke</w:t>
            </w:r>
            <w:proofErr w:type="spellEnd"/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 o </w:t>
            </w:r>
            <w:proofErr w:type="spellStart"/>
            <w:r w:rsidRPr="00C62217">
              <w:rPr>
                <w:rFonts w:ascii="Times New Roman" w:eastAsia="Calibri" w:hAnsi="Times New Roman" w:cs="Times New Roman"/>
                <w:lang w:val="en-US"/>
              </w:rPr>
              <w:t>neprotivljenju</w:t>
            </w:r>
            <w:proofErr w:type="spellEnd"/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62217">
              <w:rPr>
                <w:rFonts w:ascii="Times New Roman" w:eastAsia="Calibri" w:hAnsi="Times New Roman" w:cs="Times New Roman"/>
                <w:lang w:val="en-US"/>
              </w:rPr>
              <w:t>na</w:t>
            </w:r>
            <w:proofErr w:type="spellEnd"/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62217">
              <w:rPr>
                <w:rFonts w:ascii="Times New Roman" w:eastAsia="Calibri" w:hAnsi="Times New Roman" w:cs="Times New Roman"/>
                <w:lang w:val="en-US"/>
              </w:rPr>
              <w:t>Izveštaj</w:t>
            </w:r>
            <w:proofErr w:type="spellEnd"/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 o </w:t>
            </w:r>
            <w:proofErr w:type="spellStart"/>
            <w:r w:rsidRPr="00C62217">
              <w:rPr>
                <w:rFonts w:ascii="Times New Roman" w:eastAsia="Calibri" w:hAnsi="Times New Roman" w:cs="Times New Roman"/>
                <w:lang w:val="en-US"/>
              </w:rPr>
              <w:t>stručnoj</w:t>
            </w:r>
            <w:proofErr w:type="spellEnd"/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62217">
              <w:rPr>
                <w:rFonts w:ascii="Times New Roman" w:eastAsia="Calibri" w:hAnsi="Times New Roman" w:cs="Times New Roman"/>
                <w:lang w:val="en-US"/>
              </w:rPr>
              <w:t>oceni</w:t>
            </w:r>
            <w:proofErr w:type="spellEnd"/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C62217">
              <w:rPr>
                <w:rFonts w:ascii="Times New Roman" w:eastAsia="Calibri" w:hAnsi="Times New Roman" w:cs="Times New Roman"/>
                <w:lang w:val="en-US"/>
              </w:rPr>
              <w:t>ponuda</w:t>
            </w:r>
            <w:proofErr w:type="spellEnd"/>
            <w:r w:rsidRPr="00C62217">
              <w:rPr>
                <w:rFonts w:ascii="Times New Roman" w:eastAsia="Calibri" w:hAnsi="Times New Roman" w:cs="Times New Roman"/>
                <w:lang w:val="en-US"/>
              </w:rPr>
              <w:t xml:space="preserve"> .</w:t>
            </w:r>
            <w:proofErr w:type="gramEnd"/>
          </w:p>
        </w:tc>
      </w:tr>
      <w:tr w:rsidR="0017436E" w:rsidRPr="00C62217" w14:paraId="4D5215D4" w14:textId="77777777" w:rsidTr="00C62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B573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ED65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</w:tr>
      <w:tr w:rsidR="0017436E" w:rsidRPr="00C62217" w14:paraId="6650A325" w14:textId="77777777" w:rsidTr="00C62217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538F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8438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Kontakt: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2812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«Jedinica za upravljanje projek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tima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 xml:space="preserve"> u javnom sektoru» d.o.o.  Beograd </w:t>
            </w:r>
          </w:p>
          <w:p w14:paraId="1684F835" w14:textId="7218252C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Sektor za nabavke</w:t>
            </w:r>
            <w:r w:rsidR="00C62217"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  <w:t>:</w:t>
            </w:r>
          </w:p>
          <w:p w14:paraId="0632CF8A" w14:textId="6E0E4815" w:rsidR="0017436E" w:rsidRPr="00C62217" w:rsidRDefault="00BC6B22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en-GB"/>
              </w:rPr>
            </w:pPr>
            <w:r w:rsidRPr="00C62217">
              <w:rPr>
                <w:rFonts w:ascii="Times New Roman" w:eastAsia="Times New Roman" w:hAnsi="Times New Roman" w:cs="Times New Roman"/>
                <w:b/>
                <w:i/>
                <w:color w:val="00000A"/>
                <w:lang w:val="sr-Latn-CS" w:eastAsia="en-GB"/>
              </w:rPr>
              <w:t>milica.cel</w:t>
            </w:r>
            <w:r w:rsidR="00FF3798" w:rsidRPr="00C62217">
              <w:rPr>
                <w:rFonts w:ascii="Times New Roman" w:eastAsia="Times New Roman" w:hAnsi="Times New Roman" w:cs="Times New Roman"/>
                <w:b/>
                <w:i/>
                <w:color w:val="00000A"/>
                <w:lang w:val="sr-Latn-CS" w:eastAsia="en-GB"/>
              </w:rPr>
              <w:t>ic</w:t>
            </w:r>
            <w:r w:rsidR="008E16EA" w:rsidRPr="00C62217">
              <w:rPr>
                <w:rFonts w:ascii="Times New Roman" w:eastAsia="Times New Roman" w:hAnsi="Times New Roman" w:cs="Times New Roman"/>
                <w:b/>
                <w:i/>
                <w:color w:val="00000A"/>
                <w:lang w:val="sr-Latn-CS" w:eastAsia="en-GB"/>
              </w:rPr>
              <w:t>@piu.rs</w:t>
            </w:r>
            <w:bookmarkStart w:id="0" w:name="_GoBack"/>
            <w:bookmarkEnd w:id="0"/>
          </w:p>
        </w:tc>
      </w:tr>
      <w:tr w:rsidR="0017436E" w:rsidRPr="00C62217" w14:paraId="1642C9FD" w14:textId="77777777" w:rsidTr="00C62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9D41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A626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</w:p>
        </w:tc>
      </w:tr>
      <w:tr w:rsidR="0017436E" w:rsidRPr="00C62217" w14:paraId="6D35E971" w14:textId="77777777" w:rsidTr="00C62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9BA5" w14:textId="77777777" w:rsidR="0017436E" w:rsidRPr="00C62217" w:rsidRDefault="0017436E" w:rsidP="0017436E">
            <w:pPr>
              <w:numPr>
                <w:ilvl w:val="0"/>
                <w:numId w:val="1"/>
              </w:num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CD47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Ostale informacije:</w:t>
            </w:r>
          </w:p>
        </w:tc>
      </w:tr>
      <w:tr w:rsidR="0017436E" w:rsidRPr="00C62217" w14:paraId="22D699CC" w14:textId="77777777" w:rsidTr="00C62217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8D49" w14:textId="77777777" w:rsidR="0017436E" w:rsidRPr="00C62217" w:rsidRDefault="0017436E" w:rsidP="0017436E">
            <w:pPr>
              <w:tabs>
                <w:tab w:val="left" w:pos="720"/>
                <w:tab w:val="left" w:pos="846"/>
                <w:tab w:val="left" w:pos="1002"/>
                <w:tab w:val="left" w:pos="1284"/>
              </w:tabs>
              <w:suppressAutoHyphens/>
              <w:spacing w:before="60" w:after="60" w:line="240" w:lineRule="auto"/>
              <w:ind w:left="282" w:right="12" w:hanging="225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FF76" w14:textId="77777777" w:rsidR="0017436E" w:rsidRPr="00C62217" w:rsidRDefault="0017436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</w:pP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Nabavke dobara, radova i usluga finansiranih od strane programa stambenog zbrinjavanja u Republici Srbiji, pripremljena su, dodeljena i organizovana u saradnji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en-US"/>
              </w:rPr>
              <w:t xml:space="preserve">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sa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en-US"/>
              </w:rPr>
              <w:t xml:space="preserve"> </w:t>
            </w:r>
            <w:r w:rsidRPr="00C62217">
              <w:rPr>
                <w:rFonts w:ascii="Times New Roman" w:eastAsia="WenQuanYi Micro Hei" w:hAnsi="Times New Roman" w:cs="Times New Roman"/>
                <w:color w:val="00000A"/>
                <w:lang w:val="sr-Cyrl-CS"/>
              </w:rPr>
              <w:t>partnerskim zemljama i CEB Priručnikom za dobra, radove i usluge, objavljenom na vebsajtu:</w:t>
            </w:r>
          </w:p>
          <w:p w14:paraId="3BFE38D2" w14:textId="77777777" w:rsidR="0017436E" w:rsidRPr="00C62217" w:rsidRDefault="008254EE" w:rsidP="0017436E">
            <w:pPr>
              <w:tabs>
                <w:tab w:val="left" w:pos="720"/>
              </w:tabs>
              <w:suppressAutoHyphens/>
              <w:spacing w:before="60" w:after="60" w:line="240" w:lineRule="auto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/>
              </w:rPr>
            </w:pPr>
            <w:hyperlink r:id="rId12" w:history="1">
              <w:r w:rsidR="0017436E" w:rsidRPr="00C62217">
                <w:rPr>
                  <w:rFonts w:ascii="Times New Roman" w:eastAsia="WenQuanYi Micro Hei" w:hAnsi="Times New Roman" w:cs="Times New Roman"/>
                  <w:color w:val="0000FF"/>
                  <w:u w:val="single"/>
                  <w:lang w:val="sr-Cyrl-CS"/>
                </w:rPr>
                <w:t>https://coebank.org/en/about/policies-and-guidelines/projects-and-loans-policies-and-guidelines/</w:t>
              </w:r>
            </w:hyperlink>
          </w:p>
        </w:tc>
      </w:tr>
    </w:tbl>
    <w:p w14:paraId="57A3519E" w14:textId="77777777" w:rsidR="00B67365" w:rsidRPr="00C62217" w:rsidRDefault="00B67365" w:rsidP="00FF3798">
      <w:pPr>
        <w:rPr>
          <w:rFonts w:ascii="Times New Roman" w:hAnsi="Times New Roman" w:cs="Times New Roman"/>
        </w:rPr>
      </w:pPr>
    </w:p>
    <w:sectPr w:rsidR="00B67365" w:rsidRPr="00C62217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10186" w14:textId="77777777" w:rsidR="008254EE" w:rsidRDefault="008254EE">
      <w:pPr>
        <w:spacing w:after="0" w:line="240" w:lineRule="auto"/>
      </w:pPr>
      <w:r>
        <w:separator/>
      </w:r>
    </w:p>
  </w:endnote>
  <w:endnote w:type="continuationSeparator" w:id="0">
    <w:p w14:paraId="21C1F2C3" w14:textId="77777777" w:rsidR="008254EE" w:rsidRDefault="0082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33505B81" w14:textId="77777777" w:rsidTr="00332E22">
      <w:tc>
        <w:tcPr>
          <w:tcW w:w="4773" w:type="dxa"/>
          <w:shd w:val="clear" w:color="auto" w:fill="auto"/>
        </w:tcPr>
        <w:p w14:paraId="4CA17841" w14:textId="2853FEE7" w:rsidR="00083F35" w:rsidRPr="009F2448" w:rsidRDefault="00C62217" w:rsidP="00C62217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>
            <w:rPr>
              <w:rFonts w:ascii="Times New Roman" w:hAnsi="Times New Roman" w:cs="Times New Roman"/>
              <w:sz w:val="20"/>
              <w:szCs w:val="20"/>
              <w:lang w:val="sr-Latn-CS"/>
            </w:rPr>
            <w:t>2020</w:t>
          </w:r>
          <w:r w:rsidR="0017436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– Regionalni stambeni program</w:t>
          </w:r>
        </w:p>
      </w:tc>
      <w:tc>
        <w:tcPr>
          <w:tcW w:w="4515" w:type="dxa"/>
          <w:shd w:val="clear" w:color="auto" w:fill="auto"/>
        </w:tcPr>
        <w:p w14:paraId="698F2376" w14:textId="77777777" w:rsidR="00083F35" w:rsidRPr="009F2448" w:rsidRDefault="0017436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Strana 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C62217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1</w:t>
          </w:r>
          <w:r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2CD34473" w14:textId="77777777" w:rsidR="00083F35" w:rsidRPr="00F5074E" w:rsidRDefault="008254EE" w:rsidP="00083F35">
    <w:pPr>
      <w:pStyle w:val="Footer"/>
      <w:rPr>
        <w:lang w:val="sr-Latn-CS"/>
      </w:rPr>
    </w:pPr>
  </w:p>
  <w:p w14:paraId="3FF5A86C" w14:textId="77777777" w:rsidR="00083F35" w:rsidRDefault="008254EE" w:rsidP="00083F35">
    <w:pPr>
      <w:pStyle w:val="Footer"/>
    </w:pPr>
  </w:p>
  <w:p w14:paraId="4E4B1D5C" w14:textId="77777777" w:rsidR="00083F35" w:rsidRDefault="00825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482C9" w14:textId="77777777" w:rsidR="008254EE" w:rsidRDefault="008254EE">
      <w:pPr>
        <w:spacing w:after="0" w:line="240" w:lineRule="auto"/>
      </w:pPr>
      <w:r>
        <w:separator/>
      </w:r>
    </w:p>
  </w:footnote>
  <w:footnote w:type="continuationSeparator" w:id="0">
    <w:p w14:paraId="044ED78D" w14:textId="77777777" w:rsidR="008254EE" w:rsidRDefault="0082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1E"/>
    <w:rsid w:val="00000864"/>
    <w:rsid w:val="000158AA"/>
    <w:rsid w:val="00023B5B"/>
    <w:rsid w:val="00046905"/>
    <w:rsid w:val="00051023"/>
    <w:rsid w:val="00061447"/>
    <w:rsid w:val="00075D1E"/>
    <w:rsid w:val="000942FB"/>
    <w:rsid w:val="000B1FCA"/>
    <w:rsid w:val="0012245D"/>
    <w:rsid w:val="0017436E"/>
    <w:rsid w:val="001A0E9A"/>
    <w:rsid w:val="001D6EFF"/>
    <w:rsid w:val="001F2C38"/>
    <w:rsid w:val="00206F9E"/>
    <w:rsid w:val="002234BB"/>
    <w:rsid w:val="002574C3"/>
    <w:rsid w:val="00267A9A"/>
    <w:rsid w:val="00271A3B"/>
    <w:rsid w:val="002A001C"/>
    <w:rsid w:val="002E3EBE"/>
    <w:rsid w:val="00356A3E"/>
    <w:rsid w:val="00364D00"/>
    <w:rsid w:val="003A3BEF"/>
    <w:rsid w:val="003A3FCD"/>
    <w:rsid w:val="003A53BE"/>
    <w:rsid w:val="00476DE6"/>
    <w:rsid w:val="004C40A1"/>
    <w:rsid w:val="004F1A43"/>
    <w:rsid w:val="004F1E11"/>
    <w:rsid w:val="00512770"/>
    <w:rsid w:val="00526119"/>
    <w:rsid w:val="005372C5"/>
    <w:rsid w:val="00564189"/>
    <w:rsid w:val="00570FE8"/>
    <w:rsid w:val="005E236D"/>
    <w:rsid w:val="00614804"/>
    <w:rsid w:val="00617DB4"/>
    <w:rsid w:val="00632F32"/>
    <w:rsid w:val="00647059"/>
    <w:rsid w:val="007232C5"/>
    <w:rsid w:val="007379F6"/>
    <w:rsid w:val="00782DEF"/>
    <w:rsid w:val="007A0B10"/>
    <w:rsid w:val="007A5BD1"/>
    <w:rsid w:val="007C779D"/>
    <w:rsid w:val="007E0C9E"/>
    <w:rsid w:val="007F325F"/>
    <w:rsid w:val="008254EE"/>
    <w:rsid w:val="008A2ABD"/>
    <w:rsid w:val="008E16EA"/>
    <w:rsid w:val="00956F82"/>
    <w:rsid w:val="00957266"/>
    <w:rsid w:val="009C0243"/>
    <w:rsid w:val="00A16051"/>
    <w:rsid w:val="00A1637C"/>
    <w:rsid w:val="00A26D42"/>
    <w:rsid w:val="00A31729"/>
    <w:rsid w:val="00A43E4F"/>
    <w:rsid w:val="00A43F11"/>
    <w:rsid w:val="00A96D04"/>
    <w:rsid w:val="00B01B6C"/>
    <w:rsid w:val="00B20E27"/>
    <w:rsid w:val="00B31899"/>
    <w:rsid w:val="00B613DF"/>
    <w:rsid w:val="00B67365"/>
    <w:rsid w:val="00B77F27"/>
    <w:rsid w:val="00B832C5"/>
    <w:rsid w:val="00BC124B"/>
    <w:rsid w:val="00BC6B22"/>
    <w:rsid w:val="00BF439E"/>
    <w:rsid w:val="00C1416B"/>
    <w:rsid w:val="00C14902"/>
    <w:rsid w:val="00C40B39"/>
    <w:rsid w:val="00C62217"/>
    <w:rsid w:val="00CA190F"/>
    <w:rsid w:val="00CA5CEE"/>
    <w:rsid w:val="00CC0FDC"/>
    <w:rsid w:val="00CE3B44"/>
    <w:rsid w:val="00D05D2C"/>
    <w:rsid w:val="00DD714A"/>
    <w:rsid w:val="00E3166D"/>
    <w:rsid w:val="00E65070"/>
    <w:rsid w:val="00E7160E"/>
    <w:rsid w:val="00E951D8"/>
    <w:rsid w:val="00ED7940"/>
    <w:rsid w:val="00ED7E21"/>
    <w:rsid w:val="00F00079"/>
    <w:rsid w:val="00F11D43"/>
    <w:rsid w:val="00F227F6"/>
    <w:rsid w:val="00F31D17"/>
    <w:rsid w:val="00F45F1E"/>
    <w:rsid w:val="00F51413"/>
    <w:rsid w:val="00F63DED"/>
    <w:rsid w:val="00FB1DC1"/>
    <w:rsid w:val="00FD1B0B"/>
    <w:rsid w:val="00FD2DC9"/>
    <w:rsid w:val="00FD6BC7"/>
    <w:rsid w:val="00FE6715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3C95"/>
  <w15:docId w15:val="{06945681-CDB9-478B-8BD4-E0FD94E9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6E"/>
  </w:style>
  <w:style w:type="character" w:styleId="CommentReference">
    <w:name w:val="annotation reference"/>
    <w:basedOn w:val="DefaultParagraphFont"/>
    <w:uiPriority w:val="99"/>
    <w:semiHidden/>
    <w:unhideWhenUsed/>
    <w:rsid w:val="00A26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6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ebank.org/en/about/policies-and-guidelines/projects-and-loans-policies-and-guidelin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hyperlink" Target="https://coebank.org/en/about/policies-and-guidelines/projects-and-loans-policies-and-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ujn.gov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ctionsmap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Lupuša</dc:creator>
  <cp:keywords/>
  <dc:description/>
  <cp:lastModifiedBy>Milica Ćelić</cp:lastModifiedBy>
  <cp:revision>4</cp:revision>
  <dcterms:created xsi:type="dcterms:W3CDTF">2020-02-06T10:42:00Z</dcterms:created>
  <dcterms:modified xsi:type="dcterms:W3CDTF">2020-02-20T14:08:00Z</dcterms:modified>
</cp:coreProperties>
</file>