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E0B3" w14:textId="4E65F2E6" w:rsidR="002D6E25" w:rsidRPr="00A84918" w:rsidRDefault="00A84918" w:rsidP="00A84918">
      <w:pPr>
        <w:spacing w:before="240"/>
        <w:jc w:val="center"/>
        <w:rPr>
          <w:rFonts w:ascii="Times New Roman" w:hAnsi="Times New Roman" w:cs="Times New Roman"/>
          <w:sz w:val="24"/>
          <w:szCs w:val="24"/>
          <w:lang w:val="sr-Cyrl-RS"/>
        </w:rPr>
      </w:pPr>
      <w:r w:rsidRPr="00A84918">
        <w:rPr>
          <w:rFonts w:ascii="Times New Roman" w:hAnsi="Times New Roman" w:cs="Times New Roman"/>
          <w:b/>
          <w:sz w:val="24"/>
          <w:szCs w:val="24"/>
          <w:lang w:val="sr-Latn-CS"/>
        </w:rPr>
        <w:t xml:space="preserve">Nabavka </w:t>
      </w:r>
      <w:r w:rsidR="003A3ECB">
        <w:rPr>
          <w:rFonts w:ascii="Times New Roman" w:hAnsi="Times New Roman" w:cs="Times New Roman"/>
          <w:b/>
          <w:sz w:val="24"/>
          <w:szCs w:val="24"/>
          <w:lang w:val="sr-Latn-CS"/>
        </w:rPr>
        <w:t xml:space="preserve">nepredvidjenih </w:t>
      </w:r>
      <w:r w:rsidRPr="00A84918">
        <w:rPr>
          <w:rFonts w:ascii="Times New Roman" w:hAnsi="Times New Roman" w:cs="Times New Roman"/>
          <w:b/>
          <w:sz w:val="24"/>
          <w:szCs w:val="24"/>
          <w:lang w:val="sr-Latn-CS"/>
        </w:rPr>
        <w:t xml:space="preserve">radova </w:t>
      </w:r>
      <w:r w:rsidR="003A3ECB">
        <w:rPr>
          <w:rFonts w:ascii="Times New Roman" w:hAnsi="Times New Roman" w:cs="Times New Roman"/>
          <w:b/>
          <w:sz w:val="24"/>
          <w:szCs w:val="24"/>
          <w:lang w:val="sr-Latn-CS"/>
        </w:rPr>
        <w:t>na</w:t>
      </w:r>
      <w:r w:rsidRPr="00A84918">
        <w:rPr>
          <w:rFonts w:ascii="Times New Roman" w:hAnsi="Times New Roman" w:cs="Times New Roman"/>
          <w:b/>
          <w:sz w:val="24"/>
          <w:szCs w:val="24"/>
          <w:lang w:val="sr-Latn-CS"/>
        </w:rPr>
        <w:t xml:space="preserve"> izgradnj</w:t>
      </w:r>
      <w:r w:rsidR="003A3ECB">
        <w:rPr>
          <w:rFonts w:ascii="Times New Roman" w:hAnsi="Times New Roman" w:cs="Times New Roman"/>
          <w:b/>
          <w:sz w:val="24"/>
          <w:szCs w:val="24"/>
          <w:lang w:val="sr-Latn-CS"/>
        </w:rPr>
        <w:t>i</w:t>
      </w:r>
      <w:r w:rsidRPr="00A84918">
        <w:rPr>
          <w:rFonts w:ascii="Times New Roman" w:hAnsi="Times New Roman" w:cs="Times New Roman"/>
          <w:b/>
          <w:sz w:val="24"/>
          <w:szCs w:val="24"/>
          <w:lang w:val="sr-Latn-CS"/>
        </w:rPr>
        <w:t xml:space="preserve"> višeporodičnih stambenih objekata </w:t>
      </w:r>
      <w:proofErr w:type="spellStart"/>
      <w:r w:rsidR="003A3ECB">
        <w:rPr>
          <w:rFonts w:ascii="Times New Roman" w:hAnsi="Times New Roman" w:cs="Times New Roman"/>
          <w:b/>
          <w:sz w:val="24"/>
          <w:szCs w:val="24"/>
        </w:rPr>
        <w:t>na</w:t>
      </w:r>
      <w:proofErr w:type="spellEnd"/>
      <w:r w:rsidR="003A3ECB">
        <w:rPr>
          <w:rFonts w:ascii="Times New Roman" w:hAnsi="Times New Roman" w:cs="Times New Roman"/>
          <w:b/>
          <w:sz w:val="24"/>
          <w:szCs w:val="24"/>
        </w:rPr>
        <w:t xml:space="preserve"> </w:t>
      </w:r>
      <w:proofErr w:type="spellStart"/>
      <w:r w:rsidR="003A3ECB">
        <w:rPr>
          <w:rFonts w:ascii="Times New Roman" w:hAnsi="Times New Roman" w:cs="Times New Roman"/>
          <w:b/>
          <w:sz w:val="24"/>
          <w:szCs w:val="24"/>
        </w:rPr>
        <w:t>lokaciji</w:t>
      </w:r>
      <w:proofErr w:type="spellEnd"/>
      <w:r w:rsidR="003A3ECB">
        <w:rPr>
          <w:rFonts w:ascii="Times New Roman" w:hAnsi="Times New Roman" w:cs="Times New Roman"/>
          <w:b/>
          <w:sz w:val="24"/>
          <w:szCs w:val="24"/>
        </w:rPr>
        <w:t xml:space="preserve"> </w:t>
      </w:r>
      <w:proofErr w:type="spellStart"/>
      <w:r w:rsidR="003A3ECB">
        <w:rPr>
          <w:rFonts w:ascii="Times New Roman" w:hAnsi="Times New Roman" w:cs="Times New Roman"/>
          <w:b/>
          <w:sz w:val="24"/>
          <w:szCs w:val="24"/>
        </w:rPr>
        <w:t>Šabac</w:t>
      </w:r>
      <w:proofErr w:type="spellEnd"/>
      <w:r w:rsidR="003A3ECB">
        <w:rPr>
          <w:rFonts w:ascii="Times New Roman" w:hAnsi="Times New Roman" w:cs="Times New Roman"/>
          <w:b/>
          <w:sz w:val="24"/>
          <w:szCs w:val="24"/>
        </w:rPr>
        <w:t xml:space="preserve"> u </w:t>
      </w:r>
      <w:proofErr w:type="spellStart"/>
      <w:r w:rsidR="003A3ECB">
        <w:rPr>
          <w:rFonts w:ascii="Times New Roman" w:hAnsi="Times New Roman" w:cs="Times New Roman"/>
          <w:b/>
          <w:sz w:val="24"/>
          <w:szCs w:val="24"/>
        </w:rPr>
        <w:t>okviru</w:t>
      </w:r>
      <w:proofErr w:type="spellEnd"/>
      <w:r w:rsidR="003A3ECB">
        <w:rPr>
          <w:rFonts w:ascii="Times New Roman" w:hAnsi="Times New Roman" w:cs="Times New Roman"/>
          <w:b/>
          <w:sz w:val="24"/>
          <w:szCs w:val="24"/>
        </w:rPr>
        <w:t xml:space="preserve"> RHP </w:t>
      </w:r>
      <w:proofErr w:type="spellStart"/>
      <w:r w:rsidR="003A3ECB">
        <w:rPr>
          <w:rFonts w:ascii="Times New Roman" w:hAnsi="Times New Roman" w:cs="Times New Roman"/>
          <w:b/>
          <w:sz w:val="24"/>
          <w:szCs w:val="24"/>
        </w:rPr>
        <w:t>projekta</w:t>
      </w:r>
      <w:proofErr w:type="spellEnd"/>
      <w:r w:rsidR="003A3ECB">
        <w:rPr>
          <w:rFonts w:ascii="Times New Roman" w:hAnsi="Times New Roman" w:cs="Times New Roman"/>
          <w:b/>
          <w:sz w:val="24"/>
          <w:szCs w:val="24"/>
        </w:rPr>
        <w:t xml:space="preserve"> – </w:t>
      </w:r>
      <w:proofErr w:type="spellStart"/>
      <w:r w:rsidR="003A3ECB">
        <w:rPr>
          <w:rFonts w:ascii="Times New Roman" w:hAnsi="Times New Roman" w:cs="Times New Roman"/>
          <w:b/>
          <w:sz w:val="24"/>
          <w:szCs w:val="24"/>
        </w:rPr>
        <w:t>drugi</w:t>
      </w:r>
      <w:proofErr w:type="spellEnd"/>
      <w:r w:rsidR="003A3ECB">
        <w:rPr>
          <w:rFonts w:ascii="Times New Roman" w:hAnsi="Times New Roman" w:cs="Times New Roman"/>
          <w:b/>
          <w:sz w:val="24"/>
          <w:szCs w:val="24"/>
        </w:rPr>
        <w:t xml:space="preserve"> </w:t>
      </w:r>
      <w:proofErr w:type="spellStart"/>
      <w:r w:rsidR="003A3ECB">
        <w:rPr>
          <w:rFonts w:ascii="Times New Roman" w:hAnsi="Times New Roman" w:cs="Times New Roman"/>
          <w:b/>
          <w:sz w:val="24"/>
          <w:szCs w:val="24"/>
        </w:rPr>
        <w:t>potprojekat</w:t>
      </w:r>
      <w:proofErr w:type="spellEnd"/>
    </w:p>
    <w:tbl>
      <w:tblPr>
        <w:tblW w:w="5000" w:type="pct"/>
        <w:tblCellMar>
          <w:left w:w="10" w:type="dxa"/>
          <w:right w:w="10" w:type="dxa"/>
        </w:tblCellMar>
        <w:tblLook w:val="0000" w:firstRow="0" w:lastRow="0" w:firstColumn="0" w:lastColumn="0" w:noHBand="0" w:noVBand="0"/>
      </w:tblPr>
      <w:tblGrid>
        <w:gridCol w:w="720"/>
        <w:gridCol w:w="3426"/>
        <w:gridCol w:w="5260"/>
      </w:tblGrid>
      <w:tr w:rsidR="00EE6307" w:rsidRPr="00A84918" w14:paraId="2DD8A66C" w14:textId="77777777" w:rsidTr="00ED46B4">
        <w:tc>
          <w:tcPr>
            <w:tcW w:w="383" w:type="pct"/>
            <w:shd w:val="clear" w:color="auto" w:fill="FFFFFF"/>
            <w:tcMar>
              <w:top w:w="0" w:type="dxa"/>
              <w:left w:w="108" w:type="dxa"/>
              <w:bottom w:w="0" w:type="dxa"/>
              <w:right w:w="108" w:type="dxa"/>
            </w:tcMar>
            <w:vAlign w:val="center"/>
          </w:tcPr>
          <w:p w14:paraId="15E02B5D" w14:textId="77777777" w:rsidR="00EE6307" w:rsidRPr="00A84918" w:rsidRDefault="00EE6307" w:rsidP="00ED46B4">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vAlign w:val="center"/>
          </w:tcPr>
          <w:p w14:paraId="53EC5DD5" w14:textId="58C8D8FA" w:rsidR="00EE6307" w:rsidRPr="00A84918" w:rsidRDefault="00EE6307" w:rsidP="00EE6307">
            <w:pPr>
              <w:spacing w:before="60" w:after="60" w:line="240" w:lineRule="auto"/>
              <w:jc w:val="center"/>
              <w:rPr>
                <w:rFonts w:ascii="Times New Roman" w:hAnsi="Times New Roman" w:cs="Times New Roman"/>
                <w:sz w:val="24"/>
                <w:szCs w:val="24"/>
              </w:rPr>
            </w:pPr>
          </w:p>
        </w:tc>
      </w:tr>
      <w:tr w:rsidR="002D6E25" w:rsidRPr="00A84918" w14:paraId="6BF4F42F" w14:textId="77777777" w:rsidTr="00DC14D3">
        <w:tc>
          <w:tcPr>
            <w:tcW w:w="383" w:type="pct"/>
            <w:shd w:val="clear" w:color="auto" w:fill="FFFFFF"/>
            <w:tcMar>
              <w:top w:w="0" w:type="dxa"/>
              <w:left w:w="108" w:type="dxa"/>
              <w:bottom w:w="0" w:type="dxa"/>
              <w:right w:w="108" w:type="dxa"/>
            </w:tcMar>
            <w:vAlign w:val="center"/>
          </w:tcPr>
          <w:p w14:paraId="6B75423E" w14:textId="77777777" w:rsidR="002D6E25" w:rsidRPr="00A84918" w:rsidRDefault="002D6E25" w:rsidP="00DC14D3">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vAlign w:val="center"/>
          </w:tcPr>
          <w:p w14:paraId="0C7B2988" w14:textId="61AE1BDC" w:rsidR="002D6E25" w:rsidRPr="00A84918" w:rsidRDefault="006E7E51" w:rsidP="003A3ECB">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rPr>
              <w:t>OBAVEŠTENJ</w:t>
            </w:r>
            <w:r w:rsidR="006313C2" w:rsidRPr="00A84918">
              <w:rPr>
                <w:rFonts w:ascii="Times New Roman" w:hAnsi="Times New Roman" w:cs="Times New Roman"/>
                <w:b/>
                <w:sz w:val="24"/>
                <w:szCs w:val="24"/>
              </w:rPr>
              <w:t>E</w:t>
            </w:r>
            <w:r w:rsidR="00AF36EF" w:rsidRPr="00A84918">
              <w:rPr>
                <w:rFonts w:ascii="Times New Roman" w:hAnsi="Times New Roman" w:cs="Times New Roman"/>
                <w:b/>
                <w:sz w:val="24"/>
                <w:szCs w:val="24"/>
              </w:rPr>
              <w:t xml:space="preserve"> </w:t>
            </w:r>
            <w:r w:rsidR="006313C2" w:rsidRPr="00A84918">
              <w:rPr>
                <w:rFonts w:ascii="Times New Roman" w:hAnsi="Times New Roman" w:cs="Times New Roman"/>
                <w:b/>
                <w:sz w:val="24"/>
                <w:szCs w:val="24"/>
              </w:rPr>
              <w:t>O</w:t>
            </w:r>
            <w:r w:rsidR="00AF36EF" w:rsidRPr="00A84918">
              <w:rPr>
                <w:rFonts w:ascii="Times New Roman" w:hAnsi="Times New Roman" w:cs="Times New Roman"/>
                <w:b/>
                <w:sz w:val="24"/>
                <w:szCs w:val="24"/>
              </w:rPr>
              <w:t xml:space="preserve"> </w:t>
            </w:r>
            <w:r w:rsidR="006313C2" w:rsidRPr="00A84918">
              <w:rPr>
                <w:rFonts w:ascii="Times New Roman" w:hAnsi="Times New Roman" w:cs="Times New Roman"/>
                <w:b/>
                <w:sz w:val="24"/>
                <w:szCs w:val="24"/>
              </w:rPr>
              <w:t>OBUSTAVI</w:t>
            </w:r>
            <w:r w:rsidR="00AF36EF" w:rsidRPr="00A84918">
              <w:rPr>
                <w:rFonts w:ascii="Times New Roman" w:hAnsi="Times New Roman" w:cs="Times New Roman"/>
                <w:b/>
                <w:sz w:val="24"/>
                <w:szCs w:val="24"/>
              </w:rPr>
              <w:t xml:space="preserve"> </w:t>
            </w:r>
            <w:r w:rsidR="006313C2" w:rsidRPr="00A84918">
              <w:rPr>
                <w:rFonts w:ascii="Times New Roman" w:hAnsi="Times New Roman" w:cs="Times New Roman"/>
                <w:b/>
                <w:sz w:val="24"/>
                <w:szCs w:val="24"/>
              </w:rPr>
              <w:t>POSTUPKA</w:t>
            </w:r>
            <w:r w:rsidR="00AF36EF" w:rsidRPr="00A84918">
              <w:rPr>
                <w:rFonts w:ascii="Times New Roman" w:hAnsi="Times New Roman" w:cs="Times New Roman"/>
                <w:b/>
                <w:sz w:val="24"/>
                <w:szCs w:val="24"/>
              </w:rPr>
              <w:t xml:space="preserve"> </w:t>
            </w:r>
            <w:r w:rsidR="006313C2" w:rsidRPr="00A84918">
              <w:rPr>
                <w:rFonts w:ascii="Times New Roman" w:hAnsi="Times New Roman" w:cs="Times New Roman"/>
                <w:b/>
                <w:sz w:val="24"/>
                <w:szCs w:val="24"/>
              </w:rPr>
              <w:t>NABAVKE</w:t>
            </w:r>
            <w:r w:rsidR="00A84918" w:rsidRPr="00A84918">
              <w:rPr>
                <w:rFonts w:ascii="Times New Roman" w:hAnsi="Times New Roman" w:cs="Times New Roman"/>
                <w:b/>
                <w:sz w:val="24"/>
                <w:szCs w:val="24"/>
              </w:rPr>
              <w:t xml:space="preserve"> </w:t>
            </w:r>
            <w:r w:rsidR="00A84918" w:rsidRPr="00A84918">
              <w:rPr>
                <w:rFonts w:ascii="Times New Roman" w:hAnsi="Times New Roman" w:cs="Times New Roman"/>
                <w:b/>
                <w:sz w:val="24"/>
                <w:szCs w:val="24"/>
                <w:lang w:val="sr-Latn-CS"/>
              </w:rPr>
              <w:t xml:space="preserve">– </w:t>
            </w:r>
            <w:r w:rsidR="003A3ECB">
              <w:rPr>
                <w:rFonts w:ascii="Times New Roman" w:hAnsi="Times New Roman" w:cs="Times New Roman"/>
                <w:b/>
                <w:sz w:val="24"/>
                <w:szCs w:val="24"/>
                <w:lang w:val="sr-Latn-CS"/>
              </w:rPr>
              <w:t>pregovarački postupak bez objavljivanja poziva</w:t>
            </w:r>
          </w:p>
        </w:tc>
      </w:tr>
      <w:tr w:rsidR="002D6E25" w:rsidRPr="00A84918" w14:paraId="67D29D58" w14:textId="77777777" w:rsidTr="00DC14D3">
        <w:trPr>
          <w:trHeight w:val="232"/>
        </w:trPr>
        <w:tc>
          <w:tcPr>
            <w:tcW w:w="383" w:type="pct"/>
            <w:shd w:val="clear" w:color="auto" w:fill="FFFFFF"/>
            <w:tcMar>
              <w:top w:w="0" w:type="dxa"/>
              <w:left w:w="108" w:type="dxa"/>
              <w:bottom w:w="0" w:type="dxa"/>
              <w:right w:w="108" w:type="dxa"/>
            </w:tcMar>
          </w:tcPr>
          <w:p w14:paraId="2F48AE9B" w14:textId="77777777" w:rsidR="002D6E25" w:rsidRPr="00A84918" w:rsidRDefault="002D6E25" w:rsidP="00DC14D3">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25F29C8"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394A9AAD" w14:textId="77777777" w:rsidTr="00526918">
        <w:trPr>
          <w:trHeight w:val="603"/>
        </w:trPr>
        <w:tc>
          <w:tcPr>
            <w:tcW w:w="383" w:type="pct"/>
            <w:shd w:val="clear" w:color="auto" w:fill="FFFFFF"/>
            <w:tcMar>
              <w:top w:w="0" w:type="dxa"/>
              <w:left w:w="108" w:type="dxa"/>
              <w:bottom w:w="0" w:type="dxa"/>
              <w:right w:w="108" w:type="dxa"/>
            </w:tcMar>
          </w:tcPr>
          <w:p w14:paraId="15EB21F2"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88206BE" w14:textId="77777777" w:rsidR="002D6E25" w:rsidRPr="00A84918" w:rsidRDefault="006313C2" w:rsidP="00DC14D3">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Broj</w:t>
            </w:r>
            <w:proofErr w:type="spellEnd"/>
            <w:r w:rsidR="007355F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tendera</w:t>
            </w:r>
            <w:proofErr w:type="spellEnd"/>
            <w:r w:rsidR="004511C2"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2F49B251" w14:textId="7A5A05CB" w:rsidR="002D6E25" w:rsidRPr="007F7D79" w:rsidRDefault="00842402" w:rsidP="003A3ECB">
            <w:pPr>
              <w:spacing w:before="60" w:after="60" w:line="240" w:lineRule="auto"/>
              <w:rPr>
                <w:rFonts w:ascii="Times New Roman" w:hAnsi="Times New Roman" w:cs="Times New Roman"/>
                <w:sz w:val="24"/>
                <w:szCs w:val="24"/>
              </w:rPr>
            </w:pPr>
            <w:r w:rsidRPr="007F7D79">
              <w:rPr>
                <w:rFonts w:ascii="Times New Roman" w:hAnsi="Times New Roman" w:cs="Times New Roman"/>
                <w:sz w:val="24"/>
                <w:szCs w:val="24"/>
                <w:lang w:val="en-GB"/>
              </w:rPr>
              <w:t>RHP-W</w:t>
            </w:r>
            <w:r w:rsidR="003A3ECB">
              <w:rPr>
                <w:rFonts w:ascii="Times New Roman" w:hAnsi="Times New Roman" w:cs="Times New Roman"/>
                <w:sz w:val="24"/>
                <w:szCs w:val="24"/>
                <w:lang w:val="sr-Latn-CS"/>
              </w:rPr>
              <w:t>2</w:t>
            </w:r>
            <w:r w:rsidRPr="007F7D79">
              <w:rPr>
                <w:rFonts w:ascii="Times New Roman" w:hAnsi="Times New Roman" w:cs="Times New Roman"/>
                <w:sz w:val="24"/>
                <w:szCs w:val="24"/>
                <w:lang w:val="en-GB"/>
              </w:rPr>
              <w:t>-</w:t>
            </w:r>
            <w:r w:rsidRPr="007F7D79">
              <w:rPr>
                <w:rFonts w:ascii="Times New Roman" w:hAnsi="Times New Roman" w:cs="Times New Roman"/>
                <w:sz w:val="24"/>
                <w:szCs w:val="24"/>
                <w:lang w:val="sr-Cyrl-CS"/>
              </w:rPr>
              <w:t>АB</w:t>
            </w:r>
            <w:r w:rsidRPr="007F7D79">
              <w:rPr>
                <w:rFonts w:ascii="Times New Roman" w:hAnsi="Times New Roman" w:cs="Times New Roman"/>
                <w:sz w:val="24"/>
                <w:szCs w:val="24"/>
                <w:lang w:val="sr-Latn-CS"/>
              </w:rPr>
              <w:t>-</w:t>
            </w:r>
            <w:r w:rsidR="003A3ECB">
              <w:rPr>
                <w:rFonts w:ascii="Times New Roman" w:hAnsi="Times New Roman" w:cs="Times New Roman"/>
                <w:sz w:val="24"/>
                <w:szCs w:val="24"/>
                <w:lang w:val="sr-Latn-CS"/>
              </w:rPr>
              <w:t>A</w:t>
            </w:r>
            <w:r w:rsidRPr="007F7D79">
              <w:rPr>
                <w:rFonts w:ascii="Times New Roman" w:hAnsi="Times New Roman" w:cs="Times New Roman"/>
                <w:sz w:val="24"/>
                <w:szCs w:val="24"/>
                <w:lang w:val="sr-Latn-CS"/>
              </w:rPr>
              <w:t>CW</w:t>
            </w:r>
            <w:r w:rsidRPr="007F7D79">
              <w:rPr>
                <w:rFonts w:ascii="Times New Roman" w:hAnsi="Times New Roman" w:cs="Times New Roman"/>
                <w:sz w:val="24"/>
                <w:szCs w:val="24"/>
                <w:lang w:val="en-GB"/>
              </w:rPr>
              <w:t>/</w:t>
            </w:r>
            <w:r w:rsidR="003A3ECB">
              <w:rPr>
                <w:rFonts w:ascii="Times New Roman" w:hAnsi="Times New Roman" w:cs="Times New Roman"/>
                <w:sz w:val="24"/>
                <w:szCs w:val="24"/>
                <w:lang w:val="sr-Latn-CS"/>
              </w:rPr>
              <w:t>N</w:t>
            </w:r>
            <w:r w:rsidRPr="007F7D79">
              <w:rPr>
                <w:rFonts w:ascii="Times New Roman" w:hAnsi="Times New Roman" w:cs="Times New Roman"/>
                <w:sz w:val="24"/>
                <w:szCs w:val="24"/>
                <w:lang w:val="sr-Cyrl-CS"/>
              </w:rPr>
              <w:t>P</w:t>
            </w:r>
            <w:r w:rsidR="003A3ECB">
              <w:rPr>
                <w:rFonts w:ascii="Times New Roman" w:hAnsi="Times New Roman" w:cs="Times New Roman"/>
                <w:sz w:val="24"/>
                <w:szCs w:val="24"/>
                <w:lang w:val="sr-Latn-CS"/>
              </w:rPr>
              <w:t>1</w:t>
            </w:r>
            <w:r w:rsidRPr="007F7D79">
              <w:rPr>
                <w:rFonts w:ascii="Times New Roman" w:hAnsi="Times New Roman" w:cs="Times New Roman"/>
                <w:sz w:val="24"/>
                <w:szCs w:val="24"/>
                <w:lang w:val="en-GB"/>
              </w:rPr>
              <w:t>-20</w:t>
            </w:r>
            <w:r w:rsidR="003A3ECB">
              <w:rPr>
                <w:rFonts w:ascii="Times New Roman" w:hAnsi="Times New Roman" w:cs="Times New Roman"/>
                <w:sz w:val="24"/>
                <w:szCs w:val="24"/>
                <w:lang w:val="en-GB"/>
              </w:rPr>
              <w:t>20</w:t>
            </w:r>
          </w:p>
        </w:tc>
      </w:tr>
      <w:tr w:rsidR="002D6E25" w:rsidRPr="00A84918" w14:paraId="2A46FDF1" w14:textId="77777777" w:rsidTr="00DC14D3">
        <w:trPr>
          <w:trHeight w:val="232"/>
        </w:trPr>
        <w:tc>
          <w:tcPr>
            <w:tcW w:w="383" w:type="pct"/>
            <w:shd w:val="clear" w:color="auto" w:fill="FFFFFF"/>
            <w:tcMar>
              <w:top w:w="0" w:type="dxa"/>
              <w:left w:w="108" w:type="dxa"/>
              <w:bottom w:w="0" w:type="dxa"/>
              <w:right w:w="108" w:type="dxa"/>
            </w:tcMar>
          </w:tcPr>
          <w:p w14:paraId="7E1CC319"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07597A2"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610549C5" w14:textId="77777777" w:rsidTr="00526918">
        <w:trPr>
          <w:trHeight w:val="603"/>
        </w:trPr>
        <w:tc>
          <w:tcPr>
            <w:tcW w:w="383" w:type="pct"/>
            <w:shd w:val="clear" w:color="auto" w:fill="FFFFFF"/>
            <w:tcMar>
              <w:top w:w="0" w:type="dxa"/>
              <w:left w:w="108" w:type="dxa"/>
              <w:bottom w:w="0" w:type="dxa"/>
              <w:right w:w="108" w:type="dxa"/>
            </w:tcMar>
          </w:tcPr>
          <w:p w14:paraId="0088C319"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9B14092" w14:textId="77777777" w:rsidR="002D6E25" w:rsidRPr="00A84918" w:rsidRDefault="006313C2" w:rsidP="00B128D2">
            <w:pPr>
              <w:spacing w:before="60" w:after="60" w:line="240" w:lineRule="auto"/>
              <w:rPr>
                <w:rFonts w:ascii="Times New Roman" w:hAnsi="Times New Roman" w:cs="Times New Roman"/>
                <w:sz w:val="24"/>
                <w:szCs w:val="24"/>
              </w:rPr>
            </w:pPr>
            <w:r w:rsidRPr="00A84918">
              <w:rPr>
                <w:rFonts w:ascii="Times New Roman" w:hAnsi="Times New Roman" w:cs="Times New Roman"/>
                <w:sz w:val="24"/>
                <w:szCs w:val="24"/>
              </w:rPr>
              <w:t>Program</w:t>
            </w:r>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finansiranje</w:t>
            </w:r>
            <w:proofErr w:type="spellEnd"/>
            <w:r w:rsidR="004511C2"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5B585B2D" w14:textId="77777777" w:rsidR="0074159C" w:rsidRPr="0074159C" w:rsidRDefault="0074159C" w:rsidP="0074159C">
            <w:pPr>
              <w:tabs>
                <w:tab w:val="clear" w:pos="720"/>
                <w:tab w:val="left" w:pos="459"/>
              </w:tabs>
              <w:spacing w:before="60" w:after="60" w:line="240" w:lineRule="auto"/>
              <w:jc w:val="both"/>
              <w:rPr>
                <w:rFonts w:ascii="Times New Roman" w:hAnsi="Times New Roman" w:cs="Times New Roman"/>
                <w:sz w:val="24"/>
                <w:szCs w:val="24"/>
                <w:lang w:val="sr-Cyrl-CS"/>
              </w:rPr>
            </w:pPr>
            <w:r w:rsidRPr="0074159C">
              <w:rPr>
                <w:rFonts w:ascii="Times New Roman" w:hAnsi="Times New Roman" w:cs="Times New Roman"/>
                <w:sz w:val="24"/>
                <w:szCs w:val="24"/>
                <w:lang w:val="sr-Latn-CS"/>
              </w:rPr>
              <w:t xml:space="preserve">Program: Zajednički regionalni program o trajnim rešenjima za izbeglice i raseljena lica </w:t>
            </w:r>
            <w:r w:rsidRPr="0074159C">
              <w:rPr>
                <w:rFonts w:ascii="Times New Roman" w:hAnsi="Times New Roman" w:cs="Times New Roman"/>
                <w:sz w:val="24"/>
                <w:szCs w:val="24"/>
                <w:lang w:val="sr-Cyrl-CS"/>
              </w:rPr>
              <w:t>(</w:t>
            </w:r>
            <w:r w:rsidRPr="0074159C">
              <w:rPr>
                <w:rFonts w:ascii="Times New Roman" w:hAnsi="Times New Roman" w:cs="Times New Roman"/>
                <w:sz w:val="24"/>
                <w:szCs w:val="24"/>
              </w:rPr>
              <w:t xml:space="preserve">Regional Housing </w:t>
            </w:r>
            <w:proofErr w:type="spellStart"/>
            <w:r w:rsidRPr="0074159C">
              <w:rPr>
                <w:rFonts w:ascii="Times New Roman" w:hAnsi="Times New Roman" w:cs="Times New Roman"/>
                <w:sz w:val="24"/>
                <w:szCs w:val="24"/>
              </w:rPr>
              <w:t>Programme</w:t>
            </w:r>
            <w:proofErr w:type="spellEnd"/>
            <w:r w:rsidRPr="0074159C">
              <w:rPr>
                <w:rFonts w:ascii="Times New Roman" w:hAnsi="Times New Roman" w:cs="Times New Roman"/>
                <w:sz w:val="24"/>
                <w:szCs w:val="24"/>
              </w:rPr>
              <w:t xml:space="preserve"> </w:t>
            </w:r>
            <w:r w:rsidRPr="0074159C">
              <w:rPr>
                <w:rFonts w:ascii="Times New Roman" w:hAnsi="Times New Roman" w:cs="Times New Roman"/>
                <w:sz w:val="24"/>
                <w:szCs w:val="24"/>
                <w:lang w:val="sr-Cyrl-CS"/>
              </w:rPr>
              <w:t xml:space="preserve">– </w:t>
            </w:r>
            <w:r w:rsidRPr="0074159C">
              <w:rPr>
                <w:rFonts w:ascii="Times New Roman" w:hAnsi="Times New Roman" w:cs="Times New Roman"/>
                <w:sz w:val="24"/>
                <w:szCs w:val="24"/>
              </w:rPr>
              <w:t>RHP</w:t>
            </w:r>
            <w:r w:rsidRPr="0074159C">
              <w:rPr>
                <w:rFonts w:ascii="Times New Roman" w:hAnsi="Times New Roman" w:cs="Times New Roman"/>
                <w:sz w:val="24"/>
                <w:szCs w:val="24"/>
                <w:lang w:val="sr-Cyrl-CS"/>
              </w:rPr>
              <w:t>/</w:t>
            </w:r>
            <w:r w:rsidRPr="0074159C">
              <w:rPr>
                <w:rFonts w:ascii="Times New Roman" w:hAnsi="Times New Roman" w:cs="Times New Roman"/>
                <w:sz w:val="24"/>
                <w:szCs w:val="24"/>
                <w:lang w:val="sr-Latn-CS"/>
              </w:rPr>
              <w:t>Program stambenog zbrinjavanja u Republici Srbiji)</w:t>
            </w:r>
          </w:p>
          <w:p w14:paraId="4006D424" w14:textId="0825C7F1" w:rsidR="002D6E25" w:rsidRPr="00A84918" w:rsidRDefault="0074159C" w:rsidP="00436E77">
            <w:pPr>
              <w:spacing w:before="60" w:after="60" w:line="240" w:lineRule="auto"/>
              <w:rPr>
                <w:rFonts w:ascii="Times New Roman" w:hAnsi="Times New Roman" w:cs="Times New Roman"/>
                <w:sz w:val="24"/>
                <w:szCs w:val="24"/>
              </w:rPr>
            </w:pPr>
            <w:r w:rsidRPr="0074159C">
              <w:rPr>
                <w:rFonts w:ascii="Times New Roman" w:hAnsi="Times New Roman" w:cs="Times New Roman"/>
                <w:sz w:val="24"/>
                <w:szCs w:val="24"/>
                <w:lang w:val="sr-Latn-CS"/>
              </w:rPr>
              <w:t xml:space="preserve">Finansiranje: </w:t>
            </w:r>
            <w:r w:rsidRPr="0074159C">
              <w:rPr>
                <w:rFonts w:ascii="Times New Roman" w:hAnsi="Times New Roman" w:cs="Times New Roman"/>
                <w:sz w:val="24"/>
                <w:szCs w:val="24"/>
                <w:lang w:val="sr-Cyrl-CS"/>
              </w:rPr>
              <w:t>Okvirni sporazum</w:t>
            </w:r>
            <w:r w:rsidRPr="0074159C">
              <w:rPr>
                <w:rFonts w:ascii="Times New Roman" w:hAnsi="Times New Roman" w:cs="Times New Roman"/>
                <w:sz w:val="24"/>
                <w:szCs w:val="24"/>
                <w:lang w:val="sr-Latn-CS"/>
              </w:rPr>
              <w:t xml:space="preserve"> o Regionalnom programu stambenog zbrinjavanja </w:t>
            </w:r>
            <w:r w:rsidRPr="0074159C">
              <w:rPr>
                <w:rFonts w:ascii="Times New Roman" w:hAnsi="Times New Roman" w:cs="Times New Roman"/>
                <w:sz w:val="24"/>
                <w:szCs w:val="24"/>
                <w:lang w:val="sr-Cyrl-CS"/>
              </w:rPr>
              <w:t>zaključen između Banke za razvoj saveta Evrope i Republike Srbije</w:t>
            </w:r>
            <w:r w:rsidR="00942AC1">
              <w:rPr>
                <w:rFonts w:ascii="Times New Roman" w:hAnsi="Times New Roman" w:cs="Times New Roman"/>
                <w:sz w:val="24"/>
                <w:szCs w:val="24"/>
                <w:lang w:val="sr-Latn-CS"/>
              </w:rPr>
              <w:t xml:space="preserve"> od 25. oktobra 2013. g</w:t>
            </w:r>
            <w:r w:rsidRPr="0074159C">
              <w:rPr>
                <w:rFonts w:ascii="Times New Roman" w:hAnsi="Times New Roman" w:cs="Times New Roman"/>
                <w:sz w:val="24"/>
                <w:szCs w:val="24"/>
                <w:lang w:val="sr-Latn-CS"/>
              </w:rPr>
              <w:t>odine, Ugovor</w:t>
            </w:r>
            <w:r w:rsidRPr="0074159C">
              <w:rPr>
                <w:rFonts w:ascii="Times New Roman" w:hAnsi="Times New Roman" w:cs="Times New Roman"/>
                <w:sz w:val="24"/>
                <w:szCs w:val="24"/>
                <w:lang w:val="sr-Cyrl-CS"/>
              </w:rPr>
              <w:t xml:space="preserve"> o donaciji</w:t>
            </w:r>
            <w:r w:rsidRPr="0074159C">
              <w:rPr>
                <w:rFonts w:ascii="Times New Roman" w:hAnsi="Times New Roman" w:cs="Times New Roman"/>
                <w:sz w:val="24"/>
                <w:szCs w:val="24"/>
                <w:lang w:val="sr-Latn-CS"/>
              </w:rPr>
              <w:t xml:space="preserve"> </w:t>
            </w:r>
            <w:r w:rsidRPr="0074159C">
              <w:rPr>
                <w:rFonts w:ascii="Times New Roman" w:hAnsi="Times New Roman" w:cs="Times New Roman"/>
                <w:sz w:val="24"/>
                <w:szCs w:val="24"/>
                <w:lang w:val="sr-Cyrl-CS"/>
              </w:rPr>
              <w:t xml:space="preserve">zaključen između Banke za </w:t>
            </w:r>
            <w:bookmarkStart w:id="0" w:name="_GoBack"/>
            <w:bookmarkEnd w:id="0"/>
            <w:r w:rsidRPr="0074159C">
              <w:rPr>
                <w:rFonts w:ascii="Times New Roman" w:hAnsi="Times New Roman" w:cs="Times New Roman"/>
                <w:sz w:val="24"/>
                <w:szCs w:val="24"/>
                <w:lang w:val="sr-Cyrl-CS"/>
              </w:rPr>
              <w:t>razvoj saveta Evrope i Republike Srbije</w:t>
            </w:r>
            <w:r w:rsidRPr="0074159C">
              <w:rPr>
                <w:rFonts w:ascii="Times New Roman" w:hAnsi="Times New Roman" w:cs="Times New Roman"/>
                <w:sz w:val="24"/>
                <w:szCs w:val="24"/>
                <w:lang w:val="sr-Latn-CS"/>
              </w:rPr>
              <w:t xml:space="preserve"> </w:t>
            </w:r>
            <w:r w:rsidRPr="0074159C">
              <w:rPr>
                <w:rFonts w:ascii="Times New Roman" w:hAnsi="Times New Roman" w:cs="Times New Roman"/>
                <w:sz w:val="24"/>
                <w:szCs w:val="24"/>
                <w:lang w:val="sr-Cyrl-CS"/>
              </w:rPr>
              <w:t xml:space="preserve">u vezi sa realizacijom </w:t>
            </w:r>
            <w:r w:rsidR="00436E77">
              <w:rPr>
                <w:rFonts w:ascii="Times New Roman" w:hAnsi="Times New Roman" w:cs="Times New Roman"/>
                <w:sz w:val="24"/>
                <w:szCs w:val="24"/>
                <w:lang w:val="sr-Latn-CS"/>
              </w:rPr>
              <w:t>drugog</w:t>
            </w:r>
            <w:r w:rsidRPr="0074159C">
              <w:rPr>
                <w:rFonts w:ascii="Times New Roman" w:hAnsi="Times New Roman" w:cs="Times New Roman"/>
                <w:sz w:val="24"/>
                <w:szCs w:val="24"/>
                <w:lang w:val="sr-Latn-CS"/>
              </w:rPr>
              <w:t xml:space="preserve"> </w:t>
            </w:r>
            <w:r w:rsidRPr="0074159C">
              <w:rPr>
                <w:rFonts w:ascii="Times New Roman" w:hAnsi="Times New Roman" w:cs="Times New Roman"/>
                <w:sz w:val="24"/>
                <w:szCs w:val="24"/>
                <w:lang w:val="sr-Cyrl-CS"/>
              </w:rPr>
              <w:t>potprojekta Regionalnog programa stambenog zbrinjavanja</w:t>
            </w:r>
            <w:r w:rsidR="00436E77">
              <w:rPr>
                <w:rFonts w:ascii="Times New Roman" w:hAnsi="Times New Roman" w:cs="Times New Roman"/>
                <w:sz w:val="24"/>
                <w:szCs w:val="24"/>
                <w:lang w:val="sr-Latn-CS"/>
              </w:rPr>
              <w:t>,</w:t>
            </w:r>
            <w:r w:rsidRPr="0074159C">
              <w:rPr>
                <w:rFonts w:ascii="Times New Roman" w:hAnsi="Times New Roman" w:cs="Times New Roman"/>
                <w:sz w:val="24"/>
                <w:szCs w:val="24"/>
                <w:lang w:val="sr-Latn-CS"/>
              </w:rPr>
              <w:t xml:space="preserve"> </w:t>
            </w:r>
            <w:r w:rsidR="00436E77">
              <w:rPr>
                <w:rFonts w:ascii="Times New Roman" w:hAnsi="Times New Roman" w:cs="Times New Roman"/>
                <w:sz w:val="24"/>
                <w:szCs w:val="24"/>
                <w:lang w:val="sr-Latn-CS"/>
              </w:rPr>
              <w:t>potpisanog</w:t>
            </w:r>
            <w:r w:rsidRPr="0074159C">
              <w:rPr>
                <w:rFonts w:ascii="Times New Roman" w:hAnsi="Times New Roman" w:cs="Times New Roman"/>
                <w:sz w:val="24"/>
                <w:szCs w:val="24"/>
                <w:lang w:val="sr-Latn-CS"/>
              </w:rPr>
              <w:t xml:space="preserve"> </w:t>
            </w:r>
            <w:r w:rsidR="00436E77">
              <w:rPr>
                <w:rFonts w:ascii="Times New Roman" w:hAnsi="Times New Roman" w:cs="Times New Roman"/>
                <w:sz w:val="24"/>
                <w:szCs w:val="24"/>
                <w:lang w:val="sr-Latn-CS"/>
              </w:rPr>
              <w:t>09</w:t>
            </w:r>
            <w:r w:rsidRPr="0074159C">
              <w:rPr>
                <w:rFonts w:ascii="Times New Roman" w:hAnsi="Times New Roman" w:cs="Times New Roman"/>
                <w:sz w:val="24"/>
                <w:szCs w:val="24"/>
                <w:lang w:val="sr-Latn-CS"/>
              </w:rPr>
              <w:t>.0</w:t>
            </w:r>
            <w:r w:rsidR="00436E77">
              <w:rPr>
                <w:rFonts w:ascii="Times New Roman" w:hAnsi="Times New Roman" w:cs="Times New Roman"/>
                <w:sz w:val="24"/>
                <w:szCs w:val="24"/>
                <w:lang w:val="sr-Latn-CS"/>
              </w:rPr>
              <w:t>9</w:t>
            </w:r>
            <w:r w:rsidRPr="0074159C">
              <w:rPr>
                <w:rFonts w:ascii="Times New Roman" w:hAnsi="Times New Roman" w:cs="Times New Roman"/>
                <w:sz w:val="24"/>
                <w:szCs w:val="24"/>
                <w:lang w:val="sr-Latn-CS"/>
              </w:rPr>
              <w:t>.201</w:t>
            </w:r>
            <w:r w:rsidR="00436E77">
              <w:rPr>
                <w:rFonts w:ascii="Times New Roman" w:hAnsi="Times New Roman" w:cs="Times New Roman"/>
                <w:sz w:val="24"/>
                <w:szCs w:val="24"/>
                <w:lang w:val="sr-Latn-CS"/>
              </w:rPr>
              <w:t>4</w:t>
            </w:r>
            <w:r w:rsidRPr="0074159C">
              <w:rPr>
                <w:rFonts w:ascii="Times New Roman" w:hAnsi="Times New Roman" w:cs="Times New Roman"/>
                <w:sz w:val="24"/>
                <w:szCs w:val="24"/>
                <w:lang w:val="sr-Latn-CS"/>
              </w:rPr>
              <w:t>. godine.</w:t>
            </w:r>
          </w:p>
        </w:tc>
      </w:tr>
      <w:tr w:rsidR="002D6E25" w:rsidRPr="00A84918" w14:paraId="282A01B1" w14:textId="77777777" w:rsidTr="00DC14D3">
        <w:trPr>
          <w:trHeight w:val="232"/>
        </w:trPr>
        <w:tc>
          <w:tcPr>
            <w:tcW w:w="383" w:type="pct"/>
            <w:shd w:val="clear" w:color="auto" w:fill="FFFFFF"/>
            <w:tcMar>
              <w:top w:w="0" w:type="dxa"/>
              <w:left w:w="108" w:type="dxa"/>
              <w:bottom w:w="0" w:type="dxa"/>
              <w:right w:w="108" w:type="dxa"/>
            </w:tcMar>
          </w:tcPr>
          <w:p w14:paraId="22EC0740"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3DEDF51" w14:textId="77777777" w:rsidR="002D6E25" w:rsidRPr="00A84918" w:rsidRDefault="002D6E25" w:rsidP="00DC14D3">
            <w:pPr>
              <w:spacing w:before="60" w:after="60" w:line="240" w:lineRule="auto"/>
              <w:rPr>
                <w:rFonts w:ascii="Times New Roman" w:hAnsi="Times New Roman" w:cs="Times New Roman"/>
                <w:sz w:val="24"/>
                <w:szCs w:val="24"/>
              </w:rPr>
            </w:pPr>
          </w:p>
        </w:tc>
      </w:tr>
      <w:tr w:rsidR="00526918" w:rsidRPr="00A84918" w14:paraId="5929DE39" w14:textId="77777777" w:rsidTr="00526918">
        <w:trPr>
          <w:trHeight w:val="603"/>
        </w:trPr>
        <w:tc>
          <w:tcPr>
            <w:tcW w:w="383" w:type="pct"/>
            <w:shd w:val="clear" w:color="auto" w:fill="FFFFFF"/>
            <w:tcMar>
              <w:top w:w="0" w:type="dxa"/>
              <w:left w:w="108" w:type="dxa"/>
              <w:bottom w:w="0" w:type="dxa"/>
              <w:right w:w="108" w:type="dxa"/>
            </w:tcMar>
          </w:tcPr>
          <w:p w14:paraId="6E8F9FEA"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6F6D231" w14:textId="161B1BDB" w:rsidR="00526918" w:rsidRPr="00A84918" w:rsidRDefault="006313C2" w:rsidP="00DF1A48">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Naziv</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lang w:val="sr-Cyrl-RS"/>
              </w:rPr>
              <w:t>naručioca</w:t>
            </w:r>
            <w:r w:rsidR="00526918"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15EA50C9" w14:textId="41C820FF" w:rsidR="00526918" w:rsidRPr="00A84918" w:rsidRDefault="00A84918" w:rsidP="00526918">
            <w:pPr>
              <w:spacing w:before="60" w:after="60" w:line="240" w:lineRule="auto"/>
              <w:rPr>
                <w:rFonts w:ascii="Times New Roman" w:hAnsi="Times New Roman" w:cs="Times New Roman"/>
                <w:sz w:val="24"/>
                <w:szCs w:val="24"/>
              </w:rPr>
            </w:pPr>
            <w:r w:rsidRPr="00A84918">
              <w:rPr>
                <w:rFonts w:ascii="Times New Roman" w:hAnsi="Times New Roman" w:cs="Times New Roman"/>
                <w:sz w:val="24"/>
                <w:szCs w:val="24"/>
                <w:lang w:val="sr-Latn-CS"/>
              </w:rPr>
              <w:t>''Jedinica za upravljanje projektima u javnom sektoru'' d.o.o. Beograd</w:t>
            </w:r>
          </w:p>
        </w:tc>
      </w:tr>
      <w:tr w:rsidR="002D6E25" w:rsidRPr="00A84918" w14:paraId="33A10486" w14:textId="77777777" w:rsidTr="00DC14D3">
        <w:trPr>
          <w:trHeight w:val="232"/>
        </w:trPr>
        <w:tc>
          <w:tcPr>
            <w:tcW w:w="383" w:type="pct"/>
            <w:shd w:val="clear" w:color="auto" w:fill="FFFFFF"/>
            <w:tcMar>
              <w:top w:w="0" w:type="dxa"/>
              <w:left w:w="108" w:type="dxa"/>
              <w:bottom w:w="0" w:type="dxa"/>
              <w:right w:w="108" w:type="dxa"/>
            </w:tcMar>
          </w:tcPr>
          <w:p w14:paraId="363F1B2E"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E0291D3" w14:textId="77777777" w:rsidR="002D6E25" w:rsidRPr="00A84918" w:rsidRDefault="002D6E25" w:rsidP="00DC14D3">
            <w:pPr>
              <w:spacing w:before="60" w:after="60" w:line="240" w:lineRule="auto"/>
              <w:rPr>
                <w:rFonts w:ascii="Times New Roman" w:hAnsi="Times New Roman" w:cs="Times New Roman"/>
                <w:sz w:val="24"/>
                <w:szCs w:val="24"/>
              </w:rPr>
            </w:pPr>
          </w:p>
        </w:tc>
      </w:tr>
      <w:tr w:rsidR="00526918" w:rsidRPr="00A84918" w14:paraId="77477234" w14:textId="77777777" w:rsidTr="00526918">
        <w:trPr>
          <w:trHeight w:val="606"/>
        </w:trPr>
        <w:tc>
          <w:tcPr>
            <w:tcW w:w="383" w:type="pct"/>
            <w:shd w:val="clear" w:color="auto" w:fill="FFFFFF"/>
            <w:tcMar>
              <w:top w:w="0" w:type="dxa"/>
              <w:left w:w="108" w:type="dxa"/>
              <w:bottom w:w="0" w:type="dxa"/>
              <w:right w:w="108" w:type="dxa"/>
            </w:tcMar>
          </w:tcPr>
          <w:p w14:paraId="43375D59"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E0502EA" w14:textId="5DD4A385" w:rsidR="00526918" w:rsidRPr="00A84918" w:rsidRDefault="006313C2" w:rsidP="00526918">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Adresa</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lang w:val="sr-Cyrl-RS"/>
              </w:rPr>
              <w:t>naručioca</w:t>
            </w:r>
            <w:r w:rsidR="00526918"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614D8DD8" w14:textId="79894073" w:rsidR="00526918" w:rsidRPr="00A84918" w:rsidRDefault="00A84918" w:rsidP="00526918">
            <w:pPr>
              <w:spacing w:before="60" w:after="60" w:line="240" w:lineRule="auto"/>
              <w:rPr>
                <w:rFonts w:ascii="Times New Roman" w:hAnsi="Times New Roman" w:cs="Times New Roman"/>
                <w:sz w:val="24"/>
                <w:szCs w:val="24"/>
              </w:rPr>
            </w:pPr>
            <w:r w:rsidRPr="00A84918">
              <w:rPr>
                <w:rFonts w:ascii="Times New Roman" w:hAnsi="Times New Roman" w:cs="Times New Roman"/>
                <w:sz w:val="24"/>
                <w:szCs w:val="24"/>
                <w:lang w:val="sr-Latn-CS"/>
              </w:rPr>
              <w:t>Nemanjina 22-26, 11000 Beograd, Srbija</w:t>
            </w:r>
          </w:p>
        </w:tc>
      </w:tr>
      <w:tr w:rsidR="002D6E25" w:rsidRPr="00A84918" w14:paraId="3ACEAC51" w14:textId="77777777" w:rsidTr="00DC14D3">
        <w:trPr>
          <w:trHeight w:val="188"/>
        </w:trPr>
        <w:tc>
          <w:tcPr>
            <w:tcW w:w="383" w:type="pct"/>
            <w:shd w:val="clear" w:color="auto" w:fill="FFFFFF"/>
            <w:tcMar>
              <w:top w:w="0" w:type="dxa"/>
              <w:left w:w="108" w:type="dxa"/>
              <w:bottom w:w="0" w:type="dxa"/>
              <w:right w:w="108" w:type="dxa"/>
            </w:tcMar>
          </w:tcPr>
          <w:p w14:paraId="0AF533D3"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BD1CDBC" w14:textId="77777777" w:rsidR="002D6E25" w:rsidRPr="00A84918" w:rsidRDefault="002D6E25" w:rsidP="00DC14D3">
            <w:pPr>
              <w:spacing w:before="60" w:after="60" w:line="240" w:lineRule="auto"/>
              <w:rPr>
                <w:rFonts w:ascii="Times New Roman" w:hAnsi="Times New Roman" w:cs="Times New Roman"/>
                <w:sz w:val="24"/>
                <w:szCs w:val="24"/>
              </w:rPr>
            </w:pPr>
          </w:p>
        </w:tc>
      </w:tr>
      <w:tr w:rsidR="00526918" w:rsidRPr="00A84918" w14:paraId="19651B2F" w14:textId="77777777" w:rsidTr="00526918">
        <w:trPr>
          <w:trHeight w:val="624"/>
        </w:trPr>
        <w:tc>
          <w:tcPr>
            <w:tcW w:w="383" w:type="pct"/>
            <w:shd w:val="clear" w:color="auto" w:fill="FFFFFF"/>
            <w:tcMar>
              <w:top w:w="0" w:type="dxa"/>
              <w:left w:w="108" w:type="dxa"/>
              <w:bottom w:w="0" w:type="dxa"/>
              <w:right w:w="108" w:type="dxa"/>
            </w:tcMar>
          </w:tcPr>
          <w:p w14:paraId="25B5858E"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FD1622A" w14:textId="41921316" w:rsidR="00526918" w:rsidRPr="00A84918" w:rsidRDefault="006313C2" w:rsidP="00A84918">
            <w:pPr>
              <w:spacing w:before="60" w:after="60" w:line="240" w:lineRule="auto"/>
              <w:rPr>
                <w:rFonts w:ascii="Times New Roman" w:hAnsi="Times New Roman" w:cs="Times New Roman"/>
                <w:sz w:val="24"/>
                <w:szCs w:val="24"/>
                <w:lang w:val="sr-Latn-CS"/>
              </w:rPr>
            </w:pPr>
            <w:r w:rsidRPr="00A84918">
              <w:rPr>
                <w:rFonts w:ascii="Times New Roman" w:hAnsi="Times New Roman" w:cs="Times New Roman"/>
                <w:sz w:val="24"/>
                <w:szCs w:val="24"/>
              </w:rPr>
              <w:t>Internet</w:t>
            </w:r>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adresa</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lang w:val="sr-Cyrl-RS"/>
              </w:rPr>
              <w:t>naručioca</w:t>
            </w:r>
            <w:r w:rsidR="00A84918">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5EAFCD55" w14:textId="42CF8277" w:rsidR="00526918" w:rsidRPr="00A84918" w:rsidRDefault="00551931" w:rsidP="00526918">
            <w:pPr>
              <w:spacing w:before="60" w:after="60" w:line="240" w:lineRule="auto"/>
              <w:rPr>
                <w:rFonts w:ascii="Times New Roman" w:hAnsi="Times New Roman" w:cs="Times New Roman"/>
                <w:sz w:val="24"/>
                <w:szCs w:val="24"/>
              </w:rPr>
            </w:pPr>
            <w:hyperlink r:id="rId7" w:history="1">
              <w:r w:rsidR="002A4E53" w:rsidRPr="00A84918">
                <w:rPr>
                  <w:rStyle w:val="Hyperlink"/>
                  <w:rFonts w:ascii="Times New Roman" w:hAnsi="Times New Roman" w:cs="Times New Roman"/>
                  <w:sz w:val="24"/>
                  <w:szCs w:val="24"/>
                </w:rPr>
                <w:t>www.piu.rs</w:t>
              </w:r>
            </w:hyperlink>
          </w:p>
        </w:tc>
      </w:tr>
      <w:tr w:rsidR="002D6E25" w:rsidRPr="00A84918" w14:paraId="56B23937" w14:textId="77777777" w:rsidTr="00DC14D3">
        <w:trPr>
          <w:trHeight w:val="130"/>
        </w:trPr>
        <w:tc>
          <w:tcPr>
            <w:tcW w:w="383" w:type="pct"/>
            <w:shd w:val="clear" w:color="auto" w:fill="FFFFFF"/>
            <w:tcMar>
              <w:top w:w="0" w:type="dxa"/>
              <w:left w:w="108" w:type="dxa"/>
              <w:bottom w:w="0" w:type="dxa"/>
              <w:right w:w="108" w:type="dxa"/>
            </w:tcMar>
          </w:tcPr>
          <w:p w14:paraId="56D0A3BA"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D26059E" w14:textId="77777777" w:rsidR="002D6E25" w:rsidRPr="00A84918" w:rsidRDefault="002D6E25" w:rsidP="00DC14D3">
            <w:pPr>
              <w:pStyle w:val="ListParagraph"/>
              <w:spacing w:before="60" w:after="60" w:line="240" w:lineRule="auto"/>
              <w:rPr>
                <w:rFonts w:ascii="Times New Roman" w:hAnsi="Times New Roman" w:cs="Times New Roman"/>
                <w:sz w:val="24"/>
                <w:szCs w:val="24"/>
              </w:rPr>
            </w:pPr>
          </w:p>
        </w:tc>
      </w:tr>
      <w:tr w:rsidR="00526918" w:rsidRPr="00A84918" w14:paraId="65CB3F7A" w14:textId="77777777" w:rsidTr="00526918">
        <w:trPr>
          <w:trHeight w:val="614"/>
        </w:trPr>
        <w:tc>
          <w:tcPr>
            <w:tcW w:w="383" w:type="pct"/>
            <w:shd w:val="clear" w:color="auto" w:fill="FFFFFF"/>
            <w:tcMar>
              <w:top w:w="0" w:type="dxa"/>
              <w:left w:w="108" w:type="dxa"/>
              <w:bottom w:w="0" w:type="dxa"/>
              <w:right w:w="108" w:type="dxa"/>
            </w:tcMar>
          </w:tcPr>
          <w:p w14:paraId="0E49E360"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3A49F09" w14:textId="51EE8EB7" w:rsidR="00526918" w:rsidRPr="00A84918" w:rsidRDefault="006313C2" w:rsidP="002A4E53">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Vrsta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postupka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nabavke</w:t>
            </w:r>
            <w:proofErr w:type="spellEnd"/>
            <w:r w:rsidR="00B128D2"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1D75E8D9" w14:textId="705962C0" w:rsidR="00B128D2" w:rsidRPr="00436E77" w:rsidRDefault="00436E77" w:rsidP="00436E77">
            <w:pPr>
              <w:tabs>
                <w:tab w:val="clear" w:pos="720"/>
              </w:tabs>
              <w:suppressAutoHyphens w:val="0"/>
              <w:spacing w:before="60" w:after="60" w:line="240" w:lineRule="auto"/>
              <w:contextualSpacing/>
              <w:rPr>
                <w:rFonts w:ascii="Times New Roman" w:hAnsi="Times New Roman" w:cs="Times New Roman"/>
                <w:sz w:val="24"/>
                <w:szCs w:val="24"/>
              </w:rPr>
            </w:pPr>
            <w:proofErr w:type="spellStart"/>
            <w:r w:rsidRPr="00436E77">
              <w:rPr>
                <w:rFonts w:ascii="Times New Roman" w:hAnsi="Times New Roman" w:cs="Times New Roman"/>
                <w:sz w:val="24"/>
                <w:szCs w:val="24"/>
              </w:rPr>
              <w:t>Pregovarački</w:t>
            </w:r>
            <w:proofErr w:type="spellEnd"/>
            <w:r w:rsidRPr="00436E77">
              <w:rPr>
                <w:rFonts w:ascii="Times New Roman" w:hAnsi="Times New Roman" w:cs="Times New Roman"/>
                <w:sz w:val="24"/>
                <w:szCs w:val="24"/>
              </w:rPr>
              <w:t xml:space="preserve"> </w:t>
            </w:r>
            <w:proofErr w:type="spellStart"/>
            <w:r w:rsidRPr="00436E77">
              <w:rPr>
                <w:rFonts w:ascii="Times New Roman" w:hAnsi="Times New Roman" w:cs="Times New Roman"/>
                <w:sz w:val="24"/>
                <w:szCs w:val="24"/>
              </w:rPr>
              <w:t>postupak</w:t>
            </w:r>
            <w:proofErr w:type="spellEnd"/>
            <w:r w:rsidRPr="00436E77">
              <w:rPr>
                <w:rFonts w:ascii="Times New Roman" w:hAnsi="Times New Roman" w:cs="Times New Roman"/>
                <w:sz w:val="24"/>
                <w:szCs w:val="24"/>
              </w:rPr>
              <w:t xml:space="preserve"> bez </w:t>
            </w:r>
            <w:proofErr w:type="spellStart"/>
            <w:r w:rsidRPr="00436E77">
              <w:rPr>
                <w:rFonts w:ascii="Times New Roman" w:hAnsi="Times New Roman" w:cs="Times New Roman"/>
                <w:sz w:val="24"/>
                <w:szCs w:val="24"/>
              </w:rPr>
              <w:t>objavljivanja</w:t>
            </w:r>
            <w:proofErr w:type="spellEnd"/>
            <w:r w:rsidRPr="00436E77">
              <w:rPr>
                <w:rFonts w:ascii="Times New Roman" w:hAnsi="Times New Roman" w:cs="Times New Roman"/>
                <w:sz w:val="24"/>
                <w:szCs w:val="24"/>
              </w:rPr>
              <w:t xml:space="preserve"> </w:t>
            </w:r>
            <w:proofErr w:type="spellStart"/>
            <w:r>
              <w:rPr>
                <w:rFonts w:ascii="Times New Roman" w:hAnsi="Times New Roman" w:cs="Times New Roman"/>
                <w:sz w:val="24"/>
                <w:szCs w:val="24"/>
              </w:rPr>
              <w:t>poziva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podnošenje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rPr>
              <w:t xml:space="preserve"> </w:t>
            </w:r>
          </w:p>
          <w:p w14:paraId="18A3FA6F" w14:textId="2C38D732" w:rsidR="00526918" w:rsidRPr="00A84918" w:rsidRDefault="00526918" w:rsidP="002A4E53">
            <w:pPr>
              <w:tabs>
                <w:tab w:val="clear" w:pos="720"/>
                <w:tab w:val="left" w:pos="437"/>
              </w:tabs>
              <w:spacing w:before="60" w:after="60" w:line="240" w:lineRule="auto"/>
              <w:rPr>
                <w:rFonts w:ascii="Times New Roman" w:hAnsi="Times New Roman" w:cs="Times New Roman"/>
                <w:sz w:val="24"/>
                <w:szCs w:val="24"/>
              </w:rPr>
            </w:pPr>
          </w:p>
        </w:tc>
      </w:tr>
      <w:tr w:rsidR="002D6E25" w:rsidRPr="00A84918" w14:paraId="06672AAF" w14:textId="77777777" w:rsidTr="00DC14D3">
        <w:trPr>
          <w:trHeight w:val="216"/>
        </w:trPr>
        <w:tc>
          <w:tcPr>
            <w:tcW w:w="383" w:type="pct"/>
            <w:shd w:val="clear" w:color="auto" w:fill="FFFFFF"/>
            <w:tcMar>
              <w:top w:w="0" w:type="dxa"/>
              <w:left w:w="108" w:type="dxa"/>
              <w:bottom w:w="0" w:type="dxa"/>
              <w:right w:w="108" w:type="dxa"/>
            </w:tcMar>
          </w:tcPr>
          <w:p w14:paraId="414F0C47"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096DB49" w14:textId="77777777" w:rsidR="002D6E25" w:rsidRPr="00A84918" w:rsidRDefault="002D6E25" w:rsidP="00DC14D3">
            <w:pPr>
              <w:pStyle w:val="ListParagraph"/>
              <w:spacing w:before="60" w:after="60" w:line="240" w:lineRule="auto"/>
              <w:rPr>
                <w:rFonts w:ascii="Times New Roman" w:hAnsi="Times New Roman" w:cs="Times New Roman"/>
                <w:sz w:val="24"/>
                <w:szCs w:val="24"/>
              </w:rPr>
            </w:pPr>
          </w:p>
        </w:tc>
      </w:tr>
      <w:tr w:rsidR="00526918" w:rsidRPr="00A84918" w14:paraId="03D812DD" w14:textId="77777777" w:rsidTr="00526918">
        <w:trPr>
          <w:trHeight w:val="614"/>
        </w:trPr>
        <w:tc>
          <w:tcPr>
            <w:tcW w:w="383" w:type="pct"/>
            <w:shd w:val="clear" w:color="auto" w:fill="FFFFFF"/>
            <w:tcMar>
              <w:top w:w="0" w:type="dxa"/>
              <w:left w:w="108" w:type="dxa"/>
              <w:bottom w:w="0" w:type="dxa"/>
              <w:right w:w="108" w:type="dxa"/>
            </w:tcMar>
          </w:tcPr>
          <w:p w14:paraId="3EDD20AA"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43AF03A" w14:textId="77777777" w:rsidR="00B128D2" w:rsidRPr="00A84918" w:rsidRDefault="006313C2" w:rsidP="00B128D2">
            <w:pPr>
              <w:spacing w:before="60" w:after="60"/>
              <w:rPr>
                <w:rFonts w:ascii="Times New Roman" w:hAnsi="Times New Roman" w:cs="Times New Roman"/>
                <w:sz w:val="24"/>
                <w:szCs w:val="24"/>
              </w:rPr>
            </w:pPr>
            <w:proofErr w:type="spellStart"/>
            <w:r w:rsidRPr="00A84918">
              <w:rPr>
                <w:rFonts w:ascii="Times New Roman" w:hAnsi="Times New Roman" w:cs="Times New Roman"/>
                <w:sz w:val="24"/>
                <w:szCs w:val="24"/>
              </w:rPr>
              <w:t>Vrsta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ugovora</w:t>
            </w:r>
            <w:proofErr w:type="spellEnd"/>
            <w:r w:rsidR="00B128D2" w:rsidRPr="00A84918">
              <w:rPr>
                <w:rFonts w:ascii="Times New Roman" w:hAnsi="Times New Roman" w:cs="Times New Roman"/>
                <w:sz w:val="24"/>
                <w:szCs w:val="24"/>
              </w:rPr>
              <w:t>:</w:t>
            </w:r>
          </w:p>
          <w:p w14:paraId="241EAC13" w14:textId="6D09C8AC" w:rsidR="00526918" w:rsidRPr="00A84918" w:rsidRDefault="00526918" w:rsidP="00B128D2">
            <w:pPr>
              <w:spacing w:before="60" w:after="60" w:line="240" w:lineRule="auto"/>
              <w:rPr>
                <w:rFonts w:ascii="Times New Roman" w:hAnsi="Times New Roman" w:cs="Times New Roman"/>
                <w:sz w:val="24"/>
                <w:szCs w:val="24"/>
              </w:rPr>
            </w:pPr>
          </w:p>
        </w:tc>
        <w:tc>
          <w:tcPr>
            <w:tcW w:w="2796" w:type="pct"/>
            <w:shd w:val="clear" w:color="auto" w:fill="C6D9F1"/>
            <w:tcMar>
              <w:top w:w="0" w:type="dxa"/>
              <w:left w:w="108" w:type="dxa"/>
              <w:bottom w:w="0" w:type="dxa"/>
              <w:right w:w="108" w:type="dxa"/>
            </w:tcMar>
          </w:tcPr>
          <w:p w14:paraId="79D1E200" w14:textId="03F402CF" w:rsidR="00526918" w:rsidRPr="005A0D94" w:rsidRDefault="005A0D94" w:rsidP="005A0D94">
            <w:pPr>
              <w:tabs>
                <w:tab w:val="clear" w:pos="720"/>
                <w:tab w:val="left" w:pos="437"/>
              </w:tabs>
              <w:spacing w:before="60" w:after="60" w:line="240" w:lineRule="auto"/>
              <w:rPr>
                <w:rFonts w:ascii="Times New Roman" w:hAnsi="Times New Roman" w:cs="Times New Roman"/>
                <w:sz w:val="24"/>
                <w:szCs w:val="24"/>
              </w:rPr>
            </w:pPr>
            <w:proofErr w:type="spellStart"/>
            <w:r>
              <w:rPr>
                <w:rFonts w:ascii="Times New Roman" w:hAnsi="Times New Roman" w:cs="Times New Roman"/>
                <w:sz w:val="24"/>
                <w:szCs w:val="24"/>
              </w:rPr>
              <w:t>Nepredvidjeni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6313C2" w:rsidRPr="005A0D94">
              <w:rPr>
                <w:rFonts w:ascii="Times New Roman" w:hAnsi="Times New Roman" w:cs="Times New Roman"/>
                <w:sz w:val="24"/>
                <w:szCs w:val="24"/>
              </w:rPr>
              <w:t>adovi</w:t>
            </w:r>
            <w:proofErr w:type="spellEnd"/>
            <w:r>
              <w:rPr>
                <w:rFonts w:ascii="Times New Roman" w:hAnsi="Times New Roman" w:cs="Times New Roman"/>
                <w:sz w:val="24"/>
                <w:szCs w:val="24"/>
              </w:rPr>
              <w:t xml:space="preserve"> </w:t>
            </w:r>
          </w:p>
        </w:tc>
      </w:tr>
      <w:tr w:rsidR="002D6E25" w:rsidRPr="00A84918" w14:paraId="71CA14A2" w14:textId="77777777" w:rsidTr="00DC14D3">
        <w:tc>
          <w:tcPr>
            <w:tcW w:w="383" w:type="pct"/>
            <w:shd w:val="clear" w:color="auto" w:fill="FFFFFF"/>
            <w:tcMar>
              <w:top w:w="0" w:type="dxa"/>
              <w:left w:w="108" w:type="dxa"/>
              <w:bottom w:w="0" w:type="dxa"/>
              <w:right w:w="108" w:type="dxa"/>
            </w:tcMar>
          </w:tcPr>
          <w:p w14:paraId="13585B50"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FB3DA4A" w14:textId="77777777" w:rsidR="002D6E25" w:rsidRPr="00A84918" w:rsidRDefault="002D6E25" w:rsidP="00DC14D3">
            <w:pPr>
              <w:spacing w:before="60" w:after="60" w:line="240" w:lineRule="auto"/>
              <w:rPr>
                <w:rFonts w:ascii="Times New Roman" w:hAnsi="Times New Roman" w:cs="Times New Roman"/>
                <w:sz w:val="24"/>
                <w:szCs w:val="24"/>
              </w:rPr>
            </w:pPr>
          </w:p>
        </w:tc>
      </w:tr>
      <w:tr w:rsidR="00B128D2" w:rsidRPr="00A84918" w14:paraId="65BF8B5D" w14:textId="77777777" w:rsidTr="00DC14D3">
        <w:tc>
          <w:tcPr>
            <w:tcW w:w="383" w:type="pct"/>
            <w:shd w:val="clear" w:color="auto" w:fill="FFFFFF"/>
            <w:tcMar>
              <w:top w:w="0" w:type="dxa"/>
              <w:left w:w="108" w:type="dxa"/>
              <w:bottom w:w="0" w:type="dxa"/>
              <w:right w:w="108" w:type="dxa"/>
            </w:tcMar>
          </w:tcPr>
          <w:p w14:paraId="0384BE09" w14:textId="77777777" w:rsidR="00B128D2" w:rsidRPr="00A84918" w:rsidRDefault="00B128D2" w:rsidP="00526918">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6680D28" w14:textId="77777777" w:rsidR="00B128D2" w:rsidRDefault="006313C2" w:rsidP="007355F8">
            <w:pPr>
              <w:spacing w:before="60" w:after="60"/>
              <w:rPr>
                <w:rFonts w:ascii="Times New Roman" w:hAnsi="Times New Roman" w:cs="Times New Roman"/>
                <w:sz w:val="24"/>
                <w:szCs w:val="24"/>
              </w:rPr>
            </w:pPr>
            <w:proofErr w:type="spellStart"/>
            <w:r w:rsidRPr="00A84918">
              <w:rPr>
                <w:rFonts w:ascii="Times New Roman" w:hAnsi="Times New Roman" w:cs="Times New Roman"/>
                <w:b/>
                <w:sz w:val="24"/>
                <w:szCs w:val="24"/>
              </w:rPr>
              <w:t>Za</w:t>
            </w:r>
            <w:proofErr w:type="spellEnd"/>
            <w:r w:rsidR="00B128D2" w:rsidRPr="00A84918">
              <w:rPr>
                <w:rFonts w:ascii="Times New Roman" w:hAnsi="Times New Roman" w:cs="Times New Roman"/>
                <w:b/>
                <w:sz w:val="24"/>
                <w:szCs w:val="24"/>
              </w:rPr>
              <w:t xml:space="preserve"> </w:t>
            </w:r>
            <w:proofErr w:type="spellStart"/>
            <w:r w:rsidRPr="00A84918">
              <w:rPr>
                <w:rFonts w:ascii="Times New Roman" w:hAnsi="Times New Roman" w:cs="Times New Roman"/>
                <w:b/>
                <w:sz w:val="24"/>
                <w:szCs w:val="24"/>
              </w:rPr>
              <w:t>radove</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priroda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obim</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kratak</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opis</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radova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lokacija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na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kojoj</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rPr>
              <w:t>se</w:t>
            </w:r>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izvode</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radovi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oznaka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iz</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rPr>
              <w:t>regulative</w:t>
            </w:r>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rPr>
              <w:t>o</w:t>
            </w:r>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klasifikaciji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aktivnosti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naziv</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šifra</w:t>
            </w:r>
            <w:proofErr w:type="spellEnd"/>
            <w:r w:rsidR="00D32736"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iz</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lang w:val="sr-Cyrl-RS"/>
              </w:rPr>
              <w:t>ORN</w:t>
            </w:r>
            <w:r w:rsidR="00B128D2" w:rsidRPr="00A84918">
              <w:rPr>
                <w:rFonts w:ascii="Times New Roman" w:hAnsi="Times New Roman" w:cs="Times New Roman"/>
                <w:sz w:val="24"/>
                <w:szCs w:val="24"/>
              </w:rPr>
              <w:t>:</w:t>
            </w:r>
          </w:p>
          <w:p w14:paraId="20CD7ECA" w14:textId="58393E94" w:rsidR="000C304D" w:rsidRPr="000C304D" w:rsidRDefault="000C304D" w:rsidP="000C304D">
            <w:pPr>
              <w:pStyle w:val="ListParagraph"/>
              <w:tabs>
                <w:tab w:val="left" w:pos="0"/>
              </w:tabs>
              <w:spacing w:after="0" w:line="240" w:lineRule="auto"/>
              <w:jc w:val="both"/>
              <w:rPr>
                <w:rFonts w:ascii="Times New Roman" w:eastAsia="Times New Roman" w:hAnsi="Times New Roman" w:cs="Times New Roman"/>
                <w:sz w:val="24"/>
                <w:szCs w:val="24"/>
                <w:lang w:val="sr-Latn-CS"/>
              </w:rPr>
            </w:pPr>
            <w:r w:rsidRPr="000C304D">
              <w:rPr>
                <w:rFonts w:ascii="Times New Roman" w:eastAsia="Times New Roman" w:hAnsi="Times New Roman" w:cs="Times New Roman"/>
                <w:sz w:val="24"/>
                <w:szCs w:val="24"/>
                <w:lang w:val="sr-Cyrl-CS"/>
              </w:rPr>
              <w:t xml:space="preserve">45211100 – </w:t>
            </w:r>
            <w:r w:rsidRPr="000C304D">
              <w:rPr>
                <w:rFonts w:ascii="Times New Roman" w:eastAsia="Times New Roman" w:hAnsi="Times New Roman" w:cs="Times New Roman"/>
                <w:sz w:val="24"/>
                <w:szCs w:val="24"/>
                <w:lang w:val="sr-Latn-CS"/>
              </w:rPr>
              <w:t>Radovi na izgradnji zgrada</w:t>
            </w:r>
          </w:p>
          <w:p w14:paraId="08F2CD6D" w14:textId="0E8C2987" w:rsidR="000C304D" w:rsidRPr="00A84918" w:rsidRDefault="000C304D" w:rsidP="007355F8">
            <w:pPr>
              <w:spacing w:before="60" w:after="60"/>
              <w:rPr>
                <w:rFonts w:ascii="Times New Roman" w:hAnsi="Times New Roman" w:cs="Times New Roman"/>
                <w:sz w:val="24"/>
                <w:szCs w:val="24"/>
              </w:rPr>
            </w:pPr>
          </w:p>
        </w:tc>
      </w:tr>
      <w:tr w:rsidR="002D6E25" w:rsidRPr="00A84918" w14:paraId="2329771E" w14:textId="77777777" w:rsidTr="00DC14D3">
        <w:trPr>
          <w:trHeight w:val="1791"/>
        </w:trPr>
        <w:tc>
          <w:tcPr>
            <w:tcW w:w="383" w:type="pct"/>
            <w:shd w:val="clear" w:color="auto" w:fill="FFFFFF"/>
            <w:tcMar>
              <w:top w:w="0" w:type="dxa"/>
              <w:left w:w="108" w:type="dxa"/>
              <w:bottom w:w="0" w:type="dxa"/>
              <w:right w:w="108" w:type="dxa"/>
            </w:tcMar>
          </w:tcPr>
          <w:p w14:paraId="0052548B"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tblGrid>
            <w:tr w:rsidR="002A4E53" w:rsidRPr="00A84918" w14:paraId="6EE31DA0" w14:textId="77777777" w:rsidTr="00F04489">
              <w:trPr>
                <w:trHeight w:val="336"/>
              </w:trPr>
              <w:tc>
                <w:tcPr>
                  <w:tcW w:w="5000" w:type="pct"/>
                  <w:vMerge w:val="restart"/>
                  <w:shd w:val="clear" w:color="auto" w:fill="B8CCE4" w:themeFill="accent1" w:themeFillTint="66"/>
                </w:tcPr>
                <w:p w14:paraId="4154D7AF" w14:textId="64BBBCD5" w:rsidR="002A4E53" w:rsidRPr="00A84918" w:rsidRDefault="005E53B6" w:rsidP="00894D47">
                  <w:pPr>
                    <w:spacing w:before="60" w:after="60"/>
                    <w:rPr>
                      <w:rFonts w:ascii="Times New Roman" w:hAnsi="Times New Roman" w:cs="Times New Roman"/>
                      <w:b/>
                      <w:sz w:val="24"/>
                      <w:szCs w:val="24"/>
                    </w:rPr>
                  </w:pPr>
                  <w:r w:rsidRPr="005E53B6">
                    <w:rPr>
                      <w:rFonts w:ascii="Times New Roman" w:hAnsi="Times New Roman" w:cs="Times New Roman"/>
                      <w:sz w:val="24"/>
                      <w:szCs w:val="24"/>
                      <w:lang w:val="sr-Cyrl-CS"/>
                    </w:rPr>
                    <w:t>U okviru drugog potprojekta Regionalnog programa stambenog zbrinjavanja u Republici Srbiji, nakon sprovedenog postupka nabavke br. RHP-W2-AB/NOP4-2016, čiji je predmet nabavka izvođenja radova za izgradnju višeporodičnih stambenih objekata, za partiju 2. – lokacija Šabac, zaključen je Ugovor o izvođenju radova između „Jedinice za upravljanje projektima u javnom sektoru“ d.o.o. Beograd, kao Naručioca, i „Centum d.o.o. Leskovac“, kao Izvođača (kod Naručioca zaveden pod brojem 6462 od 13.10.2017. godine, a kod Izvođača zaveden pod brojem 408/2017 od 13.10.2017. godine) – (u daljem tekstu: osnovni Ugovor). Aneks I ugovora zaključen je 24.08.2018. godine, kod Naručioca zaveden pod brojem 4609, a kod Izvođača zaveden pod brojem 299 od 24.08.2018. godine. Aneks II ugovora zaključen je 05.12.2018. godine, kod Naručioca zaveden pod brojem 6671 a kod Izvođača zaveden pod brojem 414 od 05.12.2018. godine. Aneks III ugovora zaključen je 06.08.2019. godine kod Naručioca zaveden pod brojem 4671 a kod Izvođača zaveden pod brojem 214 od 05.08.2019. godine. Aneks IV ugovora zaključen je 30.09.2019. godine kod Naručioca zaveden pod brojem 5998 a kod Izvođača zaveden pod brojem 296 od 30.09.2019. godine. Tokom realizacije predmetnog Ugovora javila se potreba za izvođenjem nepredviđenih radova, te se pokreće pregovarački postupak bez objavljivanja poziva za podnošenje ponuda radi zaključenja aneksa osnovnog Ugovora.</w:t>
                  </w:r>
                </w:p>
              </w:tc>
            </w:tr>
            <w:tr w:rsidR="002A4E53" w:rsidRPr="00A84918" w14:paraId="54F198BE" w14:textId="77777777" w:rsidTr="00F04489">
              <w:trPr>
                <w:trHeight w:val="396"/>
              </w:trPr>
              <w:tc>
                <w:tcPr>
                  <w:tcW w:w="5000" w:type="pct"/>
                  <w:vMerge/>
                  <w:shd w:val="clear" w:color="auto" w:fill="B8CCE4" w:themeFill="accent1" w:themeFillTint="66"/>
                </w:tcPr>
                <w:p w14:paraId="19F48727" w14:textId="77777777" w:rsidR="002A4E53" w:rsidRPr="00A84918" w:rsidRDefault="002A4E53" w:rsidP="002A4E53">
                  <w:pPr>
                    <w:spacing w:before="60" w:after="60"/>
                    <w:rPr>
                      <w:rFonts w:ascii="Times New Roman" w:hAnsi="Times New Roman" w:cs="Times New Roman"/>
                      <w:sz w:val="24"/>
                      <w:szCs w:val="24"/>
                    </w:rPr>
                  </w:pPr>
                </w:p>
              </w:tc>
            </w:tr>
          </w:tbl>
          <w:p w14:paraId="7181FF3B"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3FF1AA43" w14:textId="77777777" w:rsidTr="00DC14D3">
        <w:trPr>
          <w:trHeight w:val="330"/>
        </w:trPr>
        <w:tc>
          <w:tcPr>
            <w:tcW w:w="383" w:type="pct"/>
            <w:shd w:val="clear" w:color="auto" w:fill="FFFFFF"/>
            <w:tcMar>
              <w:top w:w="0" w:type="dxa"/>
              <w:left w:w="108" w:type="dxa"/>
              <w:bottom w:w="0" w:type="dxa"/>
              <w:right w:w="108" w:type="dxa"/>
            </w:tcMar>
          </w:tcPr>
          <w:p w14:paraId="08CB855B"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2C7A42B"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3BCFE47B" w14:textId="77777777" w:rsidTr="00526918">
        <w:trPr>
          <w:trHeight w:val="745"/>
        </w:trPr>
        <w:tc>
          <w:tcPr>
            <w:tcW w:w="383" w:type="pct"/>
            <w:shd w:val="clear" w:color="auto" w:fill="FFFFFF"/>
            <w:tcMar>
              <w:top w:w="0" w:type="dxa"/>
              <w:left w:w="108" w:type="dxa"/>
              <w:bottom w:w="0" w:type="dxa"/>
              <w:right w:w="108" w:type="dxa"/>
            </w:tcMar>
          </w:tcPr>
          <w:p w14:paraId="351D9F5D"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C778727" w14:textId="77777777" w:rsidR="002D6E25" w:rsidRPr="00A84918" w:rsidRDefault="006313C2" w:rsidP="00DC14D3">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Procenjena</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vrednost</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javne</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nabavke</w:t>
            </w:r>
            <w:proofErr w:type="spellEnd"/>
            <w:r w:rsidR="004511C2" w:rsidRPr="00A84918">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2088D13D" w14:textId="0445B217" w:rsidR="00BA6EAC" w:rsidRPr="005E53B6" w:rsidRDefault="005E53B6" w:rsidP="004C5E3A">
            <w:pPr>
              <w:pStyle w:val="ListParagraph"/>
              <w:spacing w:before="60" w:after="60" w:line="240" w:lineRule="auto"/>
              <w:rPr>
                <w:rFonts w:ascii="Times New Roman" w:hAnsi="Times New Roman" w:cs="Times New Roman"/>
                <w:b/>
                <w:sz w:val="24"/>
                <w:szCs w:val="24"/>
              </w:rPr>
            </w:pPr>
            <w:r w:rsidRPr="005E53B6">
              <w:rPr>
                <w:rFonts w:ascii="Times New Roman" w:hAnsi="Times New Roman" w:cs="Times New Roman"/>
                <w:b/>
                <w:sz w:val="24"/>
                <w:szCs w:val="24"/>
                <w:lang w:val="sr-Latn-CS"/>
              </w:rPr>
              <w:t>12.506,03  EUR bez PDV</w:t>
            </w:r>
          </w:p>
        </w:tc>
      </w:tr>
      <w:tr w:rsidR="002D6E25" w:rsidRPr="00A84918" w14:paraId="02E590F7" w14:textId="77777777" w:rsidTr="00DC14D3">
        <w:tc>
          <w:tcPr>
            <w:tcW w:w="383" w:type="pct"/>
            <w:shd w:val="clear" w:color="auto" w:fill="FFFFFF"/>
            <w:tcMar>
              <w:top w:w="0" w:type="dxa"/>
              <w:left w:w="108" w:type="dxa"/>
              <w:bottom w:w="0" w:type="dxa"/>
              <w:right w:w="108" w:type="dxa"/>
            </w:tcMar>
          </w:tcPr>
          <w:p w14:paraId="317D1BED" w14:textId="109F135E"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7A51363"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3503C4D0" w14:textId="77777777" w:rsidTr="00DC14D3">
        <w:tc>
          <w:tcPr>
            <w:tcW w:w="383" w:type="pct"/>
            <w:shd w:val="clear" w:color="auto" w:fill="FFFFFF"/>
            <w:tcMar>
              <w:top w:w="0" w:type="dxa"/>
              <w:left w:w="108" w:type="dxa"/>
              <w:bottom w:w="0" w:type="dxa"/>
              <w:right w:w="108" w:type="dxa"/>
            </w:tcMar>
          </w:tcPr>
          <w:p w14:paraId="3BF6F899"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CABC726" w14:textId="77777777" w:rsidR="002D6E25" w:rsidRPr="00A84918" w:rsidRDefault="006313C2" w:rsidP="00DF1A48">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Broj</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lang w:val="sr-Cyrl-RS"/>
              </w:rPr>
              <w:t>primljenih</w:t>
            </w:r>
            <w:r w:rsidR="00DF1A48" w:rsidRPr="00A84918">
              <w:rPr>
                <w:rFonts w:ascii="Times New Roman" w:hAnsi="Times New Roman" w:cs="Times New Roman"/>
                <w:sz w:val="24"/>
                <w:szCs w:val="24"/>
                <w:lang w:val="sr-Cyrl-RS"/>
              </w:rPr>
              <w:t xml:space="preserve"> </w:t>
            </w:r>
            <w:proofErr w:type="spellStart"/>
            <w:r w:rsidRPr="00A84918">
              <w:rPr>
                <w:rFonts w:ascii="Times New Roman" w:hAnsi="Times New Roman" w:cs="Times New Roman"/>
                <w:sz w:val="24"/>
                <w:szCs w:val="24"/>
              </w:rPr>
              <w:t>ponuda</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osnovni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podaci</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rPr>
              <w:t>o</w:t>
            </w:r>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ponuđačima</w:t>
            </w:r>
            <w:proofErr w:type="spellEnd"/>
            <w:r w:rsidR="00765A2B" w:rsidRPr="00A84918">
              <w:rPr>
                <w:rFonts w:ascii="Times New Roman" w:hAnsi="Times New Roman" w:cs="Times New Roman"/>
                <w:sz w:val="24"/>
                <w:szCs w:val="24"/>
              </w:rPr>
              <w:t>:</w:t>
            </w:r>
          </w:p>
        </w:tc>
      </w:tr>
      <w:tr w:rsidR="002D6E25" w:rsidRPr="00A84918" w14:paraId="73FDC4A3" w14:textId="77777777" w:rsidTr="00DC14D3">
        <w:trPr>
          <w:trHeight w:val="1720"/>
        </w:trPr>
        <w:tc>
          <w:tcPr>
            <w:tcW w:w="383" w:type="pct"/>
            <w:shd w:val="clear" w:color="auto" w:fill="FFFFFF"/>
            <w:tcMar>
              <w:top w:w="0" w:type="dxa"/>
              <w:left w:w="108" w:type="dxa"/>
              <w:bottom w:w="0" w:type="dxa"/>
              <w:right w:w="108" w:type="dxa"/>
            </w:tcMar>
          </w:tcPr>
          <w:p w14:paraId="6CA22864"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23F47373" w14:textId="26C0B393" w:rsidR="004A48B1" w:rsidRPr="00EA74BB" w:rsidRDefault="005E53B6" w:rsidP="00A45999">
            <w:pPr>
              <w:spacing w:before="60" w:after="60" w:line="240" w:lineRule="auto"/>
              <w:rPr>
                <w:rFonts w:ascii="Times New Roman" w:hAnsi="Times New Roman" w:cs="Times New Roman"/>
                <w:sz w:val="24"/>
                <w:szCs w:val="24"/>
              </w:rPr>
            </w:pPr>
            <w:r w:rsidRPr="005E53B6">
              <w:rPr>
                <w:rFonts w:ascii="Times New Roman" w:eastAsia="Times New Roman" w:hAnsi="Times New Roman" w:cs="Times New Roman"/>
                <w:color w:val="000000"/>
                <w:sz w:val="24"/>
                <w:szCs w:val="24"/>
              </w:rPr>
              <w:t>Centum d.o.o. Leskovac</w:t>
            </w:r>
            <w:r w:rsidR="00A91D5B">
              <w:rPr>
                <w:rFonts w:ascii="Times New Roman" w:eastAsia="Times New Roman" w:hAnsi="Times New Roman" w:cs="Times New Roman"/>
                <w:color w:val="000000"/>
                <w:sz w:val="24"/>
                <w:szCs w:val="24"/>
              </w:rPr>
              <w:t>, MB 07960956</w:t>
            </w:r>
          </w:p>
        </w:tc>
      </w:tr>
      <w:tr w:rsidR="002D6E25" w:rsidRPr="00A84918" w14:paraId="0D59798C" w14:textId="77777777" w:rsidTr="00DC14D3">
        <w:trPr>
          <w:trHeight w:val="226"/>
        </w:trPr>
        <w:tc>
          <w:tcPr>
            <w:tcW w:w="383" w:type="pct"/>
            <w:shd w:val="clear" w:color="auto" w:fill="FFFFFF"/>
            <w:tcMar>
              <w:top w:w="0" w:type="dxa"/>
              <w:left w:w="108" w:type="dxa"/>
              <w:bottom w:w="0" w:type="dxa"/>
              <w:right w:w="108" w:type="dxa"/>
            </w:tcMar>
          </w:tcPr>
          <w:p w14:paraId="696D9474"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BE50E11" w14:textId="77777777" w:rsidR="00A84918" w:rsidRPr="00A84918" w:rsidRDefault="00A84918" w:rsidP="00DC14D3">
            <w:pPr>
              <w:spacing w:before="60" w:after="60" w:line="240" w:lineRule="auto"/>
              <w:rPr>
                <w:rFonts w:ascii="Times New Roman" w:hAnsi="Times New Roman" w:cs="Times New Roman"/>
                <w:sz w:val="24"/>
                <w:szCs w:val="24"/>
              </w:rPr>
            </w:pPr>
          </w:p>
        </w:tc>
      </w:tr>
      <w:tr w:rsidR="002D6E25" w:rsidRPr="00A84918" w14:paraId="7C4570FC" w14:textId="77777777" w:rsidTr="00DC14D3">
        <w:trPr>
          <w:trHeight w:val="745"/>
        </w:trPr>
        <w:tc>
          <w:tcPr>
            <w:tcW w:w="383" w:type="pct"/>
            <w:shd w:val="clear" w:color="auto" w:fill="FFFFFF"/>
            <w:tcMar>
              <w:top w:w="0" w:type="dxa"/>
              <w:left w:w="108" w:type="dxa"/>
              <w:bottom w:w="0" w:type="dxa"/>
              <w:right w:w="108" w:type="dxa"/>
            </w:tcMar>
          </w:tcPr>
          <w:p w14:paraId="3C989B65"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58E399F" w14:textId="77777777" w:rsidR="002D6E25" w:rsidRPr="00A84918" w:rsidRDefault="006313C2" w:rsidP="00DF1A48">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Razlozi</w:t>
            </w:r>
            <w:proofErr w:type="spellEnd"/>
            <w:r w:rsidR="00B128D2"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za</w:t>
            </w:r>
            <w:proofErr w:type="spellEnd"/>
            <w:r w:rsidR="00B128D2" w:rsidRPr="00A84918">
              <w:rPr>
                <w:rFonts w:ascii="Times New Roman" w:hAnsi="Times New Roman" w:cs="Times New Roman"/>
                <w:sz w:val="24"/>
                <w:szCs w:val="24"/>
              </w:rPr>
              <w:t xml:space="preserve"> </w:t>
            </w:r>
            <w:r w:rsidRPr="00A84918">
              <w:rPr>
                <w:rFonts w:ascii="Times New Roman" w:hAnsi="Times New Roman" w:cs="Times New Roman"/>
                <w:sz w:val="24"/>
                <w:szCs w:val="24"/>
              </w:rPr>
              <w:t>o</w:t>
            </w:r>
            <w:r w:rsidRPr="00A84918">
              <w:rPr>
                <w:rFonts w:ascii="Times New Roman" w:hAnsi="Times New Roman" w:cs="Times New Roman"/>
                <w:sz w:val="24"/>
                <w:szCs w:val="24"/>
                <w:lang w:val="sr-Cyrl-RS"/>
              </w:rPr>
              <w:t>bustavu</w:t>
            </w:r>
            <w:r w:rsidR="00DF1A48" w:rsidRPr="00A84918">
              <w:rPr>
                <w:rFonts w:ascii="Times New Roman" w:hAnsi="Times New Roman" w:cs="Times New Roman"/>
                <w:sz w:val="24"/>
                <w:szCs w:val="24"/>
                <w:lang w:val="sr-Cyrl-RS"/>
              </w:rPr>
              <w:t xml:space="preserve"> </w:t>
            </w:r>
            <w:r w:rsidRPr="00A84918">
              <w:rPr>
                <w:rFonts w:ascii="Times New Roman" w:hAnsi="Times New Roman" w:cs="Times New Roman"/>
                <w:sz w:val="24"/>
                <w:szCs w:val="24"/>
                <w:lang w:val="sr-Cyrl-RS"/>
              </w:rPr>
              <w:t>postupka</w:t>
            </w:r>
            <w:r w:rsidR="00765A2B" w:rsidRPr="00A84918">
              <w:rPr>
                <w:rFonts w:ascii="Times New Roman" w:hAnsi="Times New Roman" w:cs="Times New Roman"/>
                <w:sz w:val="24"/>
                <w:szCs w:val="24"/>
              </w:rPr>
              <w:t>:</w:t>
            </w:r>
          </w:p>
        </w:tc>
      </w:tr>
      <w:tr w:rsidR="002D6E25" w:rsidRPr="00A84918" w14:paraId="6EC05F47" w14:textId="77777777" w:rsidTr="00DC14D3">
        <w:trPr>
          <w:trHeight w:val="1720"/>
        </w:trPr>
        <w:tc>
          <w:tcPr>
            <w:tcW w:w="383" w:type="pct"/>
            <w:shd w:val="clear" w:color="auto" w:fill="FFFFFF"/>
            <w:tcMar>
              <w:top w:w="0" w:type="dxa"/>
              <w:left w:w="108" w:type="dxa"/>
              <w:bottom w:w="0" w:type="dxa"/>
              <w:right w:w="108" w:type="dxa"/>
            </w:tcMar>
          </w:tcPr>
          <w:p w14:paraId="0F0C66CA"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69D014F1" w14:textId="10055690" w:rsidR="002D6E25" w:rsidRPr="00F841FB" w:rsidRDefault="00A91D5B" w:rsidP="00F841F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Ponuda navedenog ponuđača nije administrativno usaglašena sa svim uslovima i zahtevima iz Tenderske dokumentacije.</w:t>
            </w:r>
          </w:p>
        </w:tc>
      </w:tr>
      <w:tr w:rsidR="002D6E25" w:rsidRPr="00A84918" w14:paraId="7D8D758C" w14:textId="77777777" w:rsidTr="00DC14D3">
        <w:trPr>
          <w:trHeight w:val="236"/>
        </w:trPr>
        <w:tc>
          <w:tcPr>
            <w:tcW w:w="383" w:type="pct"/>
            <w:shd w:val="clear" w:color="auto" w:fill="FFFFFF"/>
            <w:tcMar>
              <w:top w:w="0" w:type="dxa"/>
              <w:left w:w="108" w:type="dxa"/>
              <w:bottom w:w="0" w:type="dxa"/>
              <w:right w:w="108" w:type="dxa"/>
            </w:tcMar>
          </w:tcPr>
          <w:p w14:paraId="65141F0D"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FF82417" w14:textId="77777777" w:rsidR="002D6E25" w:rsidRPr="00A84918" w:rsidRDefault="002D6E25" w:rsidP="00DC14D3">
            <w:pPr>
              <w:spacing w:before="60" w:after="60" w:line="240" w:lineRule="auto"/>
              <w:rPr>
                <w:rFonts w:ascii="Times New Roman" w:hAnsi="Times New Roman" w:cs="Times New Roman"/>
                <w:sz w:val="24"/>
                <w:szCs w:val="24"/>
              </w:rPr>
            </w:pPr>
          </w:p>
        </w:tc>
      </w:tr>
      <w:tr w:rsidR="002D6E25" w:rsidRPr="00A84918" w14:paraId="0A45563D" w14:textId="77777777" w:rsidTr="00DC14D3">
        <w:trPr>
          <w:trHeight w:val="745"/>
        </w:trPr>
        <w:tc>
          <w:tcPr>
            <w:tcW w:w="383" w:type="pct"/>
            <w:shd w:val="clear" w:color="auto" w:fill="FFFFFF"/>
            <w:tcMar>
              <w:top w:w="0" w:type="dxa"/>
              <w:left w:w="108" w:type="dxa"/>
              <w:bottom w:w="0" w:type="dxa"/>
              <w:right w:w="108" w:type="dxa"/>
            </w:tcMar>
          </w:tcPr>
          <w:p w14:paraId="36E36AFB" w14:textId="77777777" w:rsidR="002D6E25" w:rsidRPr="00A84918" w:rsidRDefault="002D6E25" w:rsidP="00DC14D3">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D8BE10C" w14:textId="77777777" w:rsidR="002D6E25" w:rsidRPr="00A84918" w:rsidRDefault="006313C2" w:rsidP="00B128D2">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Kada</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će</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postupak</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biti</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ponovo</w:t>
            </w:r>
            <w:proofErr w:type="spellEnd"/>
            <w:r w:rsidR="00DF1A48"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sproveden</w:t>
            </w:r>
            <w:proofErr w:type="spellEnd"/>
            <w:r w:rsidR="00765A2B" w:rsidRPr="00A84918">
              <w:rPr>
                <w:rFonts w:ascii="Times New Roman" w:hAnsi="Times New Roman" w:cs="Times New Roman"/>
                <w:sz w:val="24"/>
                <w:szCs w:val="24"/>
              </w:rPr>
              <w:t>:</w:t>
            </w:r>
          </w:p>
        </w:tc>
      </w:tr>
      <w:tr w:rsidR="002D6E25" w:rsidRPr="00A84918" w14:paraId="2B7ED085" w14:textId="77777777" w:rsidTr="00DC14D3">
        <w:trPr>
          <w:trHeight w:val="1720"/>
        </w:trPr>
        <w:tc>
          <w:tcPr>
            <w:tcW w:w="383" w:type="pct"/>
            <w:shd w:val="clear" w:color="auto" w:fill="FFFFFF"/>
            <w:tcMar>
              <w:top w:w="0" w:type="dxa"/>
              <w:left w:w="108" w:type="dxa"/>
              <w:bottom w:w="0" w:type="dxa"/>
              <w:right w:w="108" w:type="dxa"/>
            </w:tcMar>
          </w:tcPr>
          <w:p w14:paraId="210A2393" w14:textId="77777777" w:rsidR="002D6E25" w:rsidRPr="00A84918" w:rsidRDefault="002D6E25" w:rsidP="00DC14D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D0387D6" w14:textId="36DD795F" w:rsidR="002D6E25" w:rsidRPr="00A84918" w:rsidRDefault="00836FDB" w:rsidP="00DC14D3">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526918" w:rsidRPr="00A84918" w14:paraId="0DAC4D82" w14:textId="77777777" w:rsidTr="00DC14D3">
        <w:tc>
          <w:tcPr>
            <w:tcW w:w="383" w:type="pct"/>
            <w:shd w:val="clear" w:color="auto" w:fill="FFFFFF"/>
            <w:tcMar>
              <w:top w:w="0" w:type="dxa"/>
              <w:left w:w="108" w:type="dxa"/>
              <w:bottom w:w="0" w:type="dxa"/>
              <w:right w:w="108" w:type="dxa"/>
            </w:tcMar>
          </w:tcPr>
          <w:p w14:paraId="3B124580" w14:textId="77777777" w:rsidR="00526918" w:rsidRPr="00A84918" w:rsidRDefault="00526918" w:rsidP="00526918">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7010868" w14:textId="77777777" w:rsidR="00526918" w:rsidRPr="00A84918" w:rsidRDefault="00526918" w:rsidP="00526918">
            <w:pPr>
              <w:spacing w:before="60" w:after="60" w:line="240" w:lineRule="auto"/>
              <w:rPr>
                <w:rFonts w:ascii="Times New Roman" w:hAnsi="Times New Roman" w:cs="Times New Roman"/>
                <w:sz w:val="24"/>
                <w:szCs w:val="24"/>
              </w:rPr>
            </w:pPr>
          </w:p>
        </w:tc>
      </w:tr>
      <w:tr w:rsidR="00526918" w:rsidRPr="00A84918" w14:paraId="2DCDDE55" w14:textId="77777777" w:rsidTr="00DC14D3">
        <w:tc>
          <w:tcPr>
            <w:tcW w:w="383" w:type="pct"/>
            <w:shd w:val="clear" w:color="auto" w:fill="FFFFFF"/>
            <w:tcMar>
              <w:top w:w="0" w:type="dxa"/>
              <w:left w:w="108" w:type="dxa"/>
              <w:bottom w:w="0" w:type="dxa"/>
              <w:right w:w="108" w:type="dxa"/>
            </w:tcMar>
          </w:tcPr>
          <w:p w14:paraId="262631E5" w14:textId="77777777" w:rsidR="00526918" w:rsidRPr="00A84918" w:rsidRDefault="00526918" w:rsidP="00526918">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254E47A" w14:textId="77777777" w:rsidR="00526918" w:rsidRPr="00A84918" w:rsidRDefault="006313C2" w:rsidP="00526918">
            <w:pPr>
              <w:spacing w:before="60" w:after="60" w:line="240" w:lineRule="auto"/>
              <w:rPr>
                <w:rFonts w:ascii="Times New Roman" w:hAnsi="Times New Roman" w:cs="Times New Roman"/>
                <w:sz w:val="24"/>
                <w:szCs w:val="24"/>
              </w:rPr>
            </w:pPr>
            <w:proofErr w:type="spellStart"/>
            <w:r w:rsidRPr="00A84918">
              <w:rPr>
                <w:rFonts w:ascii="Times New Roman" w:hAnsi="Times New Roman" w:cs="Times New Roman"/>
                <w:sz w:val="24"/>
                <w:szCs w:val="24"/>
              </w:rPr>
              <w:t>Druge</w:t>
            </w:r>
            <w:proofErr w:type="spellEnd"/>
            <w:r w:rsidR="00787A3F" w:rsidRPr="00A84918">
              <w:rPr>
                <w:rFonts w:ascii="Times New Roman" w:hAnsi="Times New Roman" w:cs="Times New Roman"/>
                <w:sz w:val="24"/>
                <w:szCs w:val="24"/>
              </w:rPr>
              <w:t xml:space="preserve"> </w:t>
            </w:r>
            <w:proofErr w:type="spellStart"/>
            <w:r w:rsidRPr="00A84918">
              <w:rPr>
                <w:rFonts w:ascii="Times New Roman" w:hAnsi="Times New Roman" w:cs="Times New Roman"/>
                <w:sz w:val="24"/>
                <w:szCs w:val="24"/>
              </w:rPr>
              <w:t>informacije</w:t>
            </w:r>
            <w:proofErr w:type="spellEnd"/>
            <w:r w:rsidR="00526918" w:rsidRPr="00A84918">
              <w:rPr>
                <w:rFonts w:ascii="Times New Roman" w:hAnsi="Times New Roman" w:cs="Times New Roman"/>
                <w:sz w:val="24"/>
                <w:szCs w:val="24"/>
              </w:rPr>
              <w:t>:</w:t>
            </w:r>
          </w:p>
        </w:tc>
      </w:tr>
      <w:tr w:rsidR="00526918" w:rsidRPr="00A84918" w14:paraId="5A8271EB" w14:textId="77777777" w:rsidTr="00DC14D3">
        <w:trPr>
          <w:trHeight w:val="2400"/>
        </w:trPr>
        <w:tc>
          <w:tcPr>
            <w:tcW w:w="383" w:type="pct"/>
            <w:shd w:val="clear" w:color="auto" w:fill="FFFFFF"/>
            <w:tcMar>
              <w:top w:w="0" w:type="dxa"/>
              <w:left w:w="108" w:type="dxa"/>
              <w:bottom w:w="0" w:type="dxa"/>
              <w:right w:w="108" w:type="dxa"/>
            </w:tcMar>
          </w:tcPr>
          <w:p w14:paraId="4DD73DB1" w14:textId="77777777" w:rsidR="00526918" w:rsidRPr="00A84918" w:rsidRDefault="00526918" w:rsidP="00526918">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288AB470" w14:textId="77777777" w:rsidR="00A45999" w:rsidRPr="00A84918" w:rsidRDefault="00A45999" w:rsidP="00A45999">
            <w:pPr>
              <w:tabs>
                <w:tab w:val="clear" w:pos="720"/>
              </w:tabs>
              <w:suppressAutoHyphens w:val="0"/>
              <w:spacing w:before="60" w:after="60"/>
              <w:rPr>
                <w:rFonts w:ascii="Times New Roman" w:eastAsiaTheme="minorEastAsia" w:hAnsi="Times New Roman" w:cs="Times New Roman"/>
                <w:color w:val="auto"/>
                <w:sz w:val="24"/>
                <w:szCs w:val="24"/>
                <w:lang w:val="sr-Cyrl-CS" w:eastAsia="sr-Latn-RS"/>
              </w:rPr>
            </w:pPr>
            <w:r w:rsidRPr="00A84918">
              <w:rPr>
                <w:rFonts w:ascii="Times New Roman" w:eastAsiaTheme="minorEastAsia" w:hAnsi="Times New Roman" w:cs="Times New Roman"/>
                <w:color w:val="auto"/>
                <w:sz w:val="24"/>
                <w:szCs w:val="24"/>
                <w:lang w:val="sr-Cyrl-CS" w:eastAsia="sr-Latn-RS"/>
              </w:rPr>
              <w:t>Nabavke dobara, radova i usluga finansiranih od strane programa stambenog zbrinjavanja u Republici Srbiji, pripremljena su, dodeljena i organizovana u saradnji</w:t>
            </w:r>
            <w:r w:rsidRPr="00A84918">
              <w:rPr>
                <w:rFonts w:ascii="Times New Roman" w:eastAsiaTheme="minorEastAsia" w:hAnsi="Times New Roman" w:cs="Times New Roman"/>
                <w:color w:val="auto"/>
                <w:sz w:val="24"/>
                <w:szCs w:val="24"/>
                <w:lang w:eastAsia="sr-Latn-RS"/>
              </w:rPr>
              <w:t xml:space="preserve"> </w:t>
            </w:r>
            <w:r w:rsidRPr="00A84918">
              <w:rPr>
                <w:rFonts w:ascii="Times New Roman" w:eastAsiaTheme="minorEastAsia" w:hAnsi="Times New Roman" w:cs="Times New Roman"/>
                <w:color w:val="auto"/>
                <w:sz w:val="24"/>
                <w:szCs w:val="24"/>
                <w:lang w:val="sr-Cyrl-CS" w:eastAsia="sr-Latn-RS"/>
              </w:rPr>
              <w:t>sa</w:t>
            </w:r>
            <w:r w:rsidRPr="00A84918">
              <w:rPr>
                <w:rFonts w:ascii="Times New Roman" w:eastAsiaTheme="minorEastAsia" w:hAnsi="Times New Roman" w:cs="Times New Roman"/>
                <w:color w:val="auto"/>
                <w:sz w:val="24"/>
                <w:szCs w:val="24"/>
                <w:lang w:eastAsia="sr-Latn-RS"/>
              </w:rPr>
              <w:t xml:space="preserve"> </w:t>
            </w:r>
            <w:r w:rsidRPr="00A84918">
              <w:rPr>
                <w:rFonts w:ascii="Times New Roman" w:eastAsiaTheme="minorEastAsia" w:hAnsi="Times New Roman" w:cs="Times New Roman"/>
                <w:color w:val="auto"/>
                <w:sz w:val="24"/>
                <w:szCs w:val="24"/>
                <w:lang w:val="sr-Cyrl-CS" w:eastAsia="sr-Latn-RS"/>
              </w:rPr>
              <w:t>partnerskim zemljama i CEB Priručnikom za dobra, radove i usluge, objavljenom na vebsajtu:</w:t>
            </w:r>
          </w:p>
          <w:p w14:paraId="55668ED5" w14:textId="6C38E39C" w:rsidR="00526918" w:rsidRPr="00A84918" w:rsidRDefault="00551931" w:rsidP="00A45999">
            <w:pPr>
              <w:spacing w:before="60" w:after="60" w:line="240" w:lineRule="auto"/>
              <w:rPr>
                <w:rFonts w:ascii="Times New Roman" w:hAnsi="Times New Roman" w:cs="Times New Roman"/>
                <w:sz w:val="24"/>
                <w:szCs w:val="24"/>
              </w:rPr>
            </w:pPr>
            <w:hyperlink r:id="rId8" w:history="1">
              <w:r w:rsidR="00A45999" w:rsidRPr="00A84918">
                <w:rPr>
                  <w:rFonts w:ascii="Times New Roman" w:eastAsiaTheme="minorEastAsia" w:hAnsi="Times New Roman" w:cs="Times New Roman"/>
                  <w:color w:val="0000FF" w:themeColor="hyperlink"/>
                  <w:sz w:val="24"/>
                  <w:szCs w:val="24"/>
                  <w:u w:val="single"/>
                  <w:lang w:val="sr-Latn-CS" w:eastAsia="sr-Latn-RS"/>
                </w:rPr>
                <w:t>http://www.coebank.org/en/about/policies-and-guidelines/projects-and-loans-policies-and-guidelines/</w:t>
              </w:r>
            </w:hyperlink>
          </w:p>
        </w:tc>
      </w:tr>
    </w:tbl>
    <w:p w14:paraId="59593DD4" w14:textId="77777777" w:rsidR="002D6E25" w:rsidRPr="00A84918" w:rsidRDefault="002D6E25">
      <w:pPr>
        <w:rPr>
          <w:rFonts w:ascii="Times New Roman" w:hAnsi="Times New Roman" w:cs="Times New Roman"/>
          <w:sz w:val="24"/>
          <w:szCs w:val="24"/>
        </w:rPr>
      </w:pPr>
    </w:p>
    <w:sectPr w:rsidR="002D6E25" w:rsidRPr="00A84918" w:rsidSect="002D6E2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43AE" w14:textId="77777777" w:rsidR="00551931" w:rsidRDefault="00551931" w:rsidP="00DC14D3">
      <w:pPr>
        <w:spacing w:after="0" w:line="240" w:lineRule="auto"/>
      </w:pPr>
      <w:r>
        <w:separator/>
      </w:r>
    </w:p>
  </w:endnote>
  <w:endnote w:type="continuationSeparator" w:id="0">
    <w:p w14:paraId="436E5835" w14:textId="77777777" w:rsidR="00551931" w:rsidRDefault="00551931" w:rsidP="00DC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FFF4" w14:textId="77777777" w:rsidR="00965E52" w:rsidRDefault="00965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DC14D3" w:rsidRPr="00617538" w14:paraId="2980B38E" w14:textId="77777777" w:rsidTr="00503EEB">
      <w:trPr>
        <w:trHeight w:val="216"/>
      </w:trPr>
      <w:tc>
        <w:tcPr>
          <w:tcW w:w="4773" w:type="dxa"/>
          <w:shd w:val="clear" w:color="auto" w:fill="auto"/>
        </w:tcPr>
        <w:p w14:paraId="2C410F26" w14:textId="2D4A9F1F" w:rsidR="00DC14D3" w:rsidRPr="00617538" w:rsidRDefault="00DC14D3" w:rsidP="00617538">
          <w:pPr>
            <w:pStyle w:val="Footer"/>
            <w:tabs>
              <w:tab w:val="center" w:pos="4111"/>
            </w:tabs>
            <w:rPr>
              <w:rFonts w:ascii="Times New Roman" w:hAnsi="Times New Roman" w:cs="Times New Roman"/>
            </w:rPr>
          </w:pPr>
          <w:r w:rsidRPr="00617538">
            <w:rPr>
              <w:rFonts w:ascii="Times New Roman" w:hAnsi="Times New Roman" w:cs="Times New Roman"/>
            </w:rPr>
            <w:t>2</w:t>
          </w:r>
          <w:r w:rsidR="00965E52">
            <w:rPr>
              <w:rFonts w:ascii="Times New Roman" w:hAnsi="Times New Roman" w:cs="Times New Roman"/>
            </w:rPr>
            <w:t>020</w:t>
          </w:r>
          <w:r w:rsidRPr="00617538">
            <w:rPr>
              <w:rFonts w:ascii="Times New Roman" w:hAnsi="Times New Roman" w:cs="Times New Roman"/>
            </w:rPr>
            <w:t xml:space="preserve"> </w:t>
          </w:r>
          <w:r w:rsidR="00787A3F" w:rsidRPr="00617538">
            <w:rPr>
              <w:rFonts w:ascii="Times New Roman" w:hAnsi="Times New Roman" w:cs="Times New Roman"/>
            </w:rPr>
            <w:t>–</w:t>
          </w:r>
          <w:r w:rsidRPr="00617538">
            <w:rPr>
              <w:rFonts w:ascii="Times New Roman" w:hAnsi="Times New Roman" w:cs="Times New Roman"/>
            </w:rPr>
            <w:t xml:space="preserve"> </w:t>
          </w:r>
          <w:proofErr w:type="spellStart"/>
          <w:r w:rsidR="006313C2" w:rsidRPr="00617538">
            <w:rPr>
              <w:rFonts w:ascii="Times New Roman" w:hAnsi="Times New Roman" w:cs="Times New Roman"/>
            </w:rPr>
            <w:t>Regionalni</w:t>
          </w:r>
          <w:proofErr w:type="spellEnd"/>
          <w:r w:rsidR="00A140ED" w:rsidRPr="00617538">
            <w:rPr>
              <w:rFonts w:ascii="Times New Roman" w:hAnsi="Times New Roman" w:cs="Times New Roman"/>
            </w:rPr>
            <w:t xml:space="preserve"> </w:t>
          </w:r>
          <w:proofErr w:type="spellStart"/>
          <w:r w:rsidR="00617538" w:rsidRPr="00617538">
            <w:rPr>
              <w:rFonts w:ascii="Times New Roman" w:hAnsi="Times New Roman" w:cs="Times New Roman"/>
            </w:rPr>
            <w:t>stambeni</w:t>
          </w:r>
          <w:proofErr w:type="spellEnd"/>
          <w:r w:rsidR="00617538" w:rsidRPr="00617538">
            <w:rPr>
              <w:rFonts w:ascii="Times New Roman" w:hAnsi="Times New Roman" w:cs="Times New Roman"/>
            </w:rPr>
            <w:t xml:space="preserve"> </w:t>
          </w:r>
          <w:r w:rsidR="006313C2" w:rsidRPr="00617538">
            <w:rPr>
              <w:rFonts w:ascii="Times New Roman" w:hAnsi="Times New Roman" w:cs="Times New Roman"/>
            </w:rPr>
            <w:t>program</w:t>
          </w:r>
        </w:p>
      </w:tc>
      <w:tc>
        <w:tcPr>
          <w:tcW w:w="4515" w:type="dxa"/>
          <w:shd w:val="clear" w:color="auto" w:fill="auto"/>
        </w:tcPr>
        <w:p w14:paraId="56EEFD85" w14:textId="77777777" w:rsidR="00DC14D3" w:rsidRPr="00617538" w:rsidRDefault="006313C2" w:rsidP="00DC14D3">
          <w:pPr>
            <w:pStyle w:val="Footer"/>
            <w:tabs>
              <w:tab w:val="center" w:pos="4111"/>
            </w:tabs>
            <w:jc w:val="right"/>
            <w:rPr>
              <w:rFonts w:ascii="Times New Roman" w:hAnsi="Times New Roman" w:cs="Times New Roman"/>
            </w:rPr>
          </w:pPr>
          <w:proofErr w:type="spellStart"/>
          <w:r w:rsidRPr="00617538">
            <w:rPr>
              <w:rFonts w:ascii="Times New Roman" w:hAnsi="Times New Roman" w:cs="Times New Roman"/>
            </w:rPr>
            <w:t>Strana</w:t>
          </w:r>
          <w:proofErr w:type="spellEnd"/>
          <w:r w:rsidR="00DC14D3" w:rsidRPr="00617538">
            <w:rPr>
              <w:rFonts w:ascii="Times New Roman" w:hAnsi="Times New Roman" w:cs="Times New Roman"/>
            </w:rPr>
            <w:t xml:space="preserve"> </w:t>
          </w:r>
          <w:r w:rsidR="00DC14D3" w:rsidRPr="00617538">
            <w:rPr>
              <w:rFonts w:ascii="Times New Roman" w:hAnsi="Times New Roman" w:cs="Times New Roman"/>
            </w:rPr>
            <w:fldChar w:fldCharType="begin"/>
          </w:r>
          <w:r w:rsidR="00DC14D3" w:rsidRPr="00617538">
            <w:rPr>
              <w:rFonts w:ascii="Times New Roman" w:hAnsi="Times New Roman" w:cs="Times New Roman"/>
            </w:rPr>
            <w:instrText xml:space="preserve"> PAGE   \* MERGEFORMAT </w:instrText>
          </w:r>
          <w:r w:rsidR="00DC14D3" w:rsidRPr="00617538">
            <w:rPr>
              <w:rFonts w:ascii="Times New Roman" w:hAnsi="Times New Roman" w:cs="Times New Roman"/>
            </w:rPr>
            <w:fldChar w:fldCharType="separate"/>
          </w:r>
          <w:r w:rsidR="00836FDB">
            <w:rPr>
              <w:rFonts w:ascii="Times New Roman" w:hAnsi="Times New Roman" w:cs="Times New Roman"/>
              <w:noProof/>
            </w:rPr>
            <w:t>1</w:t>
          </w:r>
          <w:r w:rsidR="00DC14D3" w:rsidRPr="00617538">
            <w:rPr>
              <w:rFonts w:ascii="Times New Roman" w:hAnsi="Times New Roman" w:cs="Times New Roman"/>
              <w:noProof/>
            </w:rPr>
            <w:fldChar w:fldCharType="end"/>
          </w:r>
        </w:p>
      </w:tc>
    </w:tr>
  </w:tbl>
  <w:p w14:paraId="49751910" w14:textId="77777777" w:rsidR="00DC14D3" w:rsidRDefault="00DC14D3" w:rsidP="00DC14D3">
    <w:pPr>
      <w:pStyle w:val="Footer"/>
    </w:pPr>
  </w:p>
  <w:p w14:paraId="2C4F69C8" w14:textId="77777777" w:rsidR="00DC14D3" w:rsidRDefault="00DC14D3" w:rsidP="00DC14D3">
    <w:pPr>
      <w:pStyle w:val="Footer"/>
    </w:pPr>
  </w:p>
  <w:p w14:paraId="7D99F7DE" w14:textId="77777777" w:rsidR="00DC14D3" w:rsidRDefault="00DC1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64AE" w14:textId="77777777" w:rsidR="00965E52" w:rsidRDefault="0096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BE836" w14:textId="77777777" w:rsidR="00551931" w:rsidRDefault="00551931" w:rsidP="00DC14D3">
      <w:pPr>
        <w:spacing w:after="0" w:line="240" w:lineRule="auto"/>
      </w:pPr>
      <w:r>
        <w:separator/>
      </w:r>
    </w:p>
  </w:footnote>
  <w:footnote w:type="continuationSeparator" w:id="0">
    <w:p w14:paraId="3E6978E0" w14:textId="77777777" w:rsidR="00551931" w:rsidRDefault="00551931" w:rsidP="00DC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2187" w14:textId="77777777" w:rsidR="00965E52" w:rsidRDefault="00965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E841" w14:textId="77777777" w:rsidR="00DC14D3" w:rsidRPr="00A140ED" w:rsidRDefault="00DC14D3" w:rsidP="00DC14D3">
    <w:pPr>
      <w:pStyle w:val="Header"/>
      <w:rPr>
        <w:lang w:val="sr-Cyrl-RS"/>
      </w:rPr>
    </w:pPr>
  </w:p>
  <w:p w14:paraId="09D600B9" w14:textId="77777777" w:rsidR="00DC14D3" w:rsidRDefault="00DC14D3" w:rsidP="00DC14D3">
    <w:pPr>
      <w:pStyle w:val="Header"/>
    </w:pPr>
  </w:p>
  <w:tbl>
    <w:tblPr>
      <w:tblW w:w="5000" w:type="pct"/>
      <w:tblLook w:val="04A0" w:firstRow="1" w:lastRow="0" w:firstColumn="1" w:lastColumn="0" w:noHBand="0" w:noVBand="1"/>
    </w:tblPr>
    <w:tblGrid>
      <w:gridCol w:w="7865"/>
      <w:gridCol w:w="1541"/>
    </w:tblGrid>
    <w:tr w:rsidR="00DC14D3" w:rsidRPr="00617538" w14:paraId="72E452F7" w14:textId="77777777" w:rsidTr="00332E22">
      <w:tc>
        <w:tcPr>
          <w:tcW w:w="4181" w:type="pct"/>
          <w:shd w:val="clear" w:color="auto" w:fill="auto"/>
        </w:tcPr>
        <w:p w14:paraId="71E67D64" w14:textId="15938E5A" w:rsidR="00DC14D3" w:rsidRPr="00617538" w:rsidRDefault="00DC14D3" w:rsidP="00381A13">
          <w:pPr>
            <w:pStyle w:val="Footer"/>
            <w:tabs>
              <w:tab w:val="center" w:pos="4860"/>
            </w:tabs>
            <w:rPr>
              <w:rFonts w:ascii="Times New Roman" w:hAnsi="Times New Roman" w:cs="Times New Roman"/>
            </w:rPr>
          </w:pPr>
        </w:p>
      </w:tc>
      <w:tc>
        <w:tcPr>
          <w:tcW w:w="819" w:type="pct"/>
          <w:shd w:val="clear" w:color="auto" w:fill="auto"/>
        </w:tcPr>
        <w:p w14:paraId="32654A68" w14:textId="77777777" w:rsidR="00DC14D3" w:rsidRPr="00617538" w:rsidRDefault="00DC14D3" w:rsidP="00DC14D3">
          <w:pPr>
            <w:pStyle w:val="Footer"/>
            <w:tabs>
              <w:tab w:val="center" w:pos="4111"/>
            </w:tabs>
            <w:jc w:val="right"/>
            <w:rPr>
              <w:rFonts w:ascii="Times New Roman" w:hAnsi="Times New Roman" w:cs="Times New Roman"/>
            </w:rPr>
          </w:pPr>
        </w:p>
      </w:tc>
    </w:tr>
  </w:tbl>
  <w:p w14:paraId="3C4FD01B" w14:textId="77777777" w:rsidR="00DC14D3" w:rsidRDefault="00DC14D3" w:rsidP="00DC14D3">
    <w:pPr>
      <w:pStyle w:val="Header"/>
    </w:pPr>
  </w:p>
  <w:p w14:paraId="5CEF77BF" w14:textId="77777777" w:rsidR="00DC14D3" w:rsidRDefault="00DC1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EDDC" w14:textId="77777777" w:rsidR="00965E52" w:rsidRDefault="0096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7731E"/>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FB7604"/>
    <w:multiLevelType w:val="hybridMultilevel"/>
    <w:tmpl w:val="6442AA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CEC0CEB"/>
    <w:multiLevelType w:val="hybridMultilevel"/>
    <w:tmpl w:val="5240C1A0"/>
    <w:lvl w:ilvl="0" w:tplc="96A60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27158"/>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D826700"/>
    <w:multiLevelType w:val="hybridMultilevel"/>
    <w:tmpl w:val="F3E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2026A"/>
    <w:rsid w:val="00076B26"/>
    <w:rsid w:val="000C304D"/>
    <w:rsid w:val="000E7E6C"/>
    <w:rsid w:val="00101CC5"/>
    <w:rsid w:val="001B03CF"/>
    <w:rsid w:val="001B30EA"/>
    <w:rsid w:val="002454F6"/>
    <w:rsid w:val="002A4E53"/>
    <w:rsid w:val="002D6E25"/>
    <w:rsid w:val="00310E03"/>
    <w:rsid w:val="00347C2B"/>
    <w:rsid w:val="00381A13"/>
    <w:rsid w:val="003A3ECB"/>
    <w:rsid w:val="00436E77"/>
    <w:rsid w:val="004511C2"/>
    <w:rsid w:val="004A48B1"/>
    <w:rsid w:val="004C5E3A"/>
    <w:rsid w:val="004D7D42"/>
    <w:rsid w:val="004E1F7C"/>
    <w:rsid w:val="00503EEB"/>
    <w:rsid w:val="00526918"/>
    <w:rsid w:val="00551931"/>
    <w:rsid w:val="005A0D94"/>
    <w:rsid w:val="005B50C2"/>
    <w:rsid w:val="005E53B6"/>
    <w:rsid w:val="00614A54"/>
    <w:rsid w:val="006162B0"/>
    <w:rsid w:val="00617538"/>
    <w:rsid w:val="006313C2"/>
    <w:rsid w:val="006605D9"/>
    <w:rsid w:val="00691408"/>
    <w:rsid w:val="00692504"/>
    <w:rsid w:val="006E7E51"/>
    <w:rsid w:val="007355F8"/>
    <w:rsid w:val="0074159C"/>
    <w:rsid w:val="00765A2B"/>
    <w:rsid w:val="00776F1E"/>
    <w:rsid w:val="00787A3F"/>
    <w:rsid w:val="007F7D79"/>
    <w:rsid w:val="00824C32"/>
    <w:rsid w:val="00836FDB"/>
    <w:rsid w:val="00842402"/>
    <w:rsid w:val="00894D47"/>
    <w:rsid w:val="00907999"/>
    <w:rsid w:val="00912ABF"/>
    <w:rsid w:val="00942AC1"/>
    <w:rsid w:val="0095414C"/>
    <w:rsid w:val="00957A57"/>
    <w:rsid w:val="00965E52"/>
    <w:rsid w:val="00987185"/>
    <w:rsid w:val="00A140ED"/>
    <w:rsid w:val="00A45999"/>
    <w:rsid w:val="00A84918"/>
    <w:rsid w:val="00A91D5B"/>
    <w:rsid w:val="00AB4F71"/>
    <w:rsid w:val="00AD6831"/>
    <w:rsid w:val="00AF36EF"/>
    <w:rsid w:val="00B128D2"/>
    <w:rsid w:val="00BA6EAC"/>
    <w:rsid w:val="00C01CC6"/>
    <w:rsid w:val="00C03869"/>
    <w:rsid w:val="00C20F11"/>
    <w:rsid w:val="00CB0415"/>
    <w:rsid w:val="00CE06B2"/>
    <w:rsid w:val="00CE73AA"/>
    <w:rsid w:val="00D32736"/>
    <w:rsid w:val="00D34483"/>
    <w:rsid w:val="00D36474"/>
    <w:rsid w:val="00D4703E"/>
    <w:rsid w:val="00D640C8"/>
    <w:rsid w:val="00D93EB9"/>
    <w:rsid w:val="00DB30CB"/>
    <w:rsid w:val="00DC14D3"/>
    <w:rsid w:val="00DF1A48"/>
    <w:rsid w:val="00E132AA"/>
    <w:rsid w:val="00E3615E"/>
    <w:rsid w:val="00E65252"/>
    <w:rsid w:val="00EA74BB"/>
    <w:rsid w:val="00EB2BE9"/>
    <w:rsid w:val="00ED7B2E"/>
    <w:rsid w:val="00EE6307"/>
    <w:rsid w:val="00EF2BAA"/>
    <w:rsid w:val="00F04489"/>
    <w:rsid w:val="00F8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6151E"/>
  <w15:docId w15:val="{4E91CE33-6CCE-49A6-B5F4-DD7EE55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basedOn w:val="Normal"/>
    <w:link w:val="HeaderChar"/>
    <w:uiPriority w:val="99"/>
    <w:unhideWhenUsed/>
    <w:rsid w:val="00DC14D3"/>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DC14D3"/>
    <w:rPr>
      <w:rFonts w:ascii="Calibri" w:eastAsia="WenQuanYi Micro Hei" w:hAnsi="Calibri" w:cs="Calibri"/>
      <w:color w:val="00000A"/>
    </w:rPr>
  </w:style>
  <w:style w:type="paragraph" w:styleId="Footer">
    <w:name w:val="footer"/>
    <w:basedOn w:val="Normal"/>
    <w:link w:val="FooterChar"/>
    <w:unhideWhenUsed/>
    <w:rsid w:val="00DC14D3"/>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DC14D3"/>
    <w:rPr>
      <w:rFonts w:ascii="Calibri" w:eastAsia="WenQuanYi Micro Hei" w:hAnsi="Calibri" w:cs="Calibri"/>
      <w:color w:val="00000A"/>
    </w:rPr>
  </w:style>
  <w:style w:type="table" w:styleId="TableGrid">
    <w:name w:val="Table Grid"/>
    <w:basedOn w:val="TableNormal"/>
    <w:uiPriority w:val="59"/>
    <w:rsid w:val="00B128D2"/>
    <w:pPr>
      <w:spacing w:after="0" w:line="240" w:lineRule="auto"/>
    </w:pPr>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4E53"/>
    <w:rPr>
      <w:color w:val="0000FF" w:themeColor="hyperlink"/>
      <w:u w:val="single"/>
    </w:rPr>
  </w:style>
  <w:style w:type="paragraph" w:styleId="BalloonText">
    <w:name w:val="Balloon Text"/>
    <w:basedOn w:val="Normal"/>
    <w:link w:val="BalloonTextChar"/>
    <w:uiPriority w:val="99"/>
    <w:semiHidden/>
    <w:unhideWhenUsed/>
    <w:rsid w:val="00D93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B9"/>
    <w:rPr>
      <w:rFonts w:ascii="Segoe UI" w:eastAsia="WenQuanYi Micro Hei" w:hAnsi="Segoe UI" w:cs="Segoe UI"/>
      <w:color w:val="00000A"/>
      <w:sz w:val="18"/>
      <w:szCs w:val="18"/>
    </w:rPr>
  </w:style>
  <w:style w:type="character" w:customStyle="1" w:styleId="ListParagraphChar">
    <w:name w:val="List Paragraph Char"/>
    <w:link w:val="ListParagraph"/>
    <w:uiPriority w:val="34"/>
    <w:locked/>
    <w:rsid w:val="00A84918"/>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ebank.org/en/about/policies-and-guidelines/projects-and-loans-policies-and-guideli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iu.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Tamara Popovic</cp:lastModifiedBy>
  <cp:revision>4</cp:revision>
  <cp:lastPrinted>2018-10-29T14:47:00Z</cp:lastPrinted>
  <dcterms:created xsi:type="dcterms:W3CDTF">2021-09-29T09:30:00Z</dcterms:created>
  <dcterms:modified xsi:type="dcterms:W3CDTF">2021-09-29T12:40:00Z</dcterms:modified>
</cp:coreProperties>
</file>