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DOO "JEDINICA ZA UPRAVLJANJE PROJEKTIMA U JAVNOM SEKTORU" BEOGRAD</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106729004</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NEMANJINA BR.22-26</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05.11.2021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5748</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DOO "JEDINICA ZA UPRAVLJANJE PROJEKTIMA U JAVNOM SEKTORU" BEOGRAD</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PBO/2-2021/D</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stručne literature za obrazovanje zaposlenih-časopis "Menadžment javnih nabavki"-paket MJN KONS 3</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F26-0001319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22200000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stručne literature za obrazovanje zaposlenih-časopis "Menadžment javnih nabavki"-paket MJN KONS 3</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330.000,00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CENTAR ZA MENADŽMENT DOO BEOGRAD-VOŽDOVAC</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109907347</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SAVE JOVANOVIĆA, 69</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(Voždovac)</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329.900,00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362.890,00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Nabavka stručne literature za obrazovanje zaposlenih-časopis "Menadžment javnih nabavki"-paket MJN KONS 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PBO/2-2021/D</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Pregovarački postupak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5498, 21.10.2021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22200000-Novine, revije, periodične publikacije i časopisi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Pravni osnov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Član 61. stav 1. tač. 1) podtač. (3)-samo određeni privredni subjekt može da isporuči dobra, pruži usluge ili izvede radove - zbog zaštite ekskluzivnih prava, uključujući prava intelektualne svojine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pravnog osnova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Nakon istraživanja tržišta i održanih obuka od strane firme ,,CENTAR ZA MENADŽMENT DOO BEOGRAD-VOŽDOVAC”, „Jedinica za upravljanje projektima u javnom sektoruˮ d.o.o. Beograd, Nemanjina 22-26, Beograd je došla do zaključka da je pomenuti časopis prilagođen potrebama naručilaca, te da olakšava poslovanje u oblasti javnih nabavki, kao i da odgovara postojećim radnim procesima i potrebama Naručioca.</w:t>
                    <w:br/>
                    <w:t xml:space="preserve">Takođe,  pretplata za navedeni časopis obuhvata i 30 kotizacija za seminare i savetovanja, čime bi se omogućilo dodatno usavršavanje lica zaposlenih  na poslovima sprovođenja javnih nabavki kod Naručioca. </w:t>
                    <w:br/>
                    <w:br/>
                    <w:t>CENTAR ZA MENADŽMENT DOO BEOGRAD-VOŽDOVAC”, ul. Save Jovanovića 69, Beograd-Voždovac je jedini i isključivi izdavač i distributer časopisa “Menadžment javnih nabavki ”.</w:t>
                    <w:br/>
                    <w:br/>
                    <w:t>Kako je „Jedinica za upravljanje projektima u javnom sektoruˮ d.o.o. Beograd osnovana odlukom  Vlade RS radi obavljanja poslova upravljanja projektima (istraživanje i razvoj, stambeno zbrinjavanje izbeglica, modernizacija škola....), te s obzirom na prirodu poslovanja, predmetni časopis predstavlja sredstvo koje zaposlenima u Sektoru javnih nabavki omogućava dodatnu konsultaciju i tumačenje nedoumica koje se pojavljuju u svakodnevnom radu.</w:t>
                    <w:br/>
                    <w:t xml:space="preserve">Na taj način obezbedio bi se kvalitetniji rad kod Naručioca, informisanost zaposlenih, dok bi se učestvovanjem na seminarima omogućila kontinuirana edukacija. </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F26-0001319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Obaveštenje o sprovođenju pregovaračkog postupka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23.10.2021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03.11.2021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Vladimir Lakčević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Tamara Kaznovac Popović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Tripković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10"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Početne ponude</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Nabavka stručne literature za obrazovanje zaposlenih-časopis "Menadžment javnih nabavki"-paket MJN KONS 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6"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28.10.2021 13:57:22</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03.11.2021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tbl>
            <w:tblPr>
              <w:tblStyle w:val="TableNormal"/>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109907347</w:t>
                    <w:br/>
                    <w:t>CENTAR ZA MENADŽMENT DOO BEOGRAD-VOŽDOVAC</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Nabavka stručne literature za obrazovanje zaposlenih-časopis "Menadžment javnih nabavki"-paket MJN KONS 3</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03.11.2021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03.11.2021 12:01:15</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CENTAR ZA MENADŽMENT DOO BEOGRAD-VOŽDOVAC, SAVE JOVANOVIĆA, 69, 11000, Beograd (Voždovac),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01112021/1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2.11.2021. 13:32:41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CENTAR ZA MENADŽMENT DOO BEOGRAD-VOŽDOVAC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329900.00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362890.00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dana dostavljanja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CENTAR ZA MENADŽMENT DOO BEOGRAD-VOŽDOVAC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329900.00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362890.00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dana dostavljanja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02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CENTAR ZA MENADŽMENT DOO BEOGRAD-VOŽDOVAC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329.900,00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362.890,00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fazi pregovaranja Ponuđač nije dostavio novu ponudu, te će se prethodno podneta ponuda smatrati konačnom.</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CENTAR ZA MENADŽMENT DOO BEOGRAD-VOŽDOVAC</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329.900,00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Odredbom člana 61. stav 1. tačka 1. podtačka 3. Zakona o javnim nabavkama („Službeni glasnik RSˮ br. 91/19) predviđena je mogućnost sprovođenja pregovaračkog postupka, bez objavljivanja javnog poziva, ukoliko samo određeni privredni subjekt može da isporuči dobra, pruži uslugu ili izvede radove zbog zaštite ekskluzivnih prava, uključujući prava intelektualne svojine. Naručilac je sproveo predmetnu vrstu postupka  u cilju efikasnijeg funkcionisanja i kvalitetnijeg rada naručioca.</w:t>
                                <w:br/>
                                <w:t>Nakon istraživanja tržišta i održanih obuka od strane firme ,,CENTAR ZA MENADŽMENT DOO BEOGRAD-VOŽDOVAC”, „Jedinica za upravljanje projektima u javnom sektoruˮ d.o.o. Beograd, Nemanjina 22-26, Beograd je došla do zaključka da je  časopis  'Menadžment javnih nabavki''- paket MJN KONS 3 prilagođen potrebama naručioca, te da olakšava poslovanje u oblasti javnih nabavki, kao i da odgovara postojećim radnim procesima i potrebama Naručioca.</w:t>
                                <w:br/>
                                <w:t xml:space="preserve">Takođe,  pretplata za navedeni časopis obuhvata i 30 kotizacija za seminare i savetovanja, čime se omogućuje dodatno usavršavanje lica zaposlenih  na poslovima sprovođenja javnih nabavki kod Naručioca. </w:t>
                                <w:br/>
                                <w:br/>
                                <w:t>CENTAR ZA MENADŽMENT DOO BEOGRAD-VOŽDOVAC”, ul. Save Jovanovića 69, Beograd-Voždovac je jedini i isključivi izdavač i distributer časopisa “Menadžment javnih nabavki ”.</w:t>
                                <w:br/>
                                <w:br/>
                                <w:t>Kako je „Jedinica za upravljanje projektima u javnom sektoruˮ d.o.o. Beograd osnovana odlukom  Vlade RS radi obavljanja poslova upravljanja projektima (istraživanje i razvoj, stambeno zbrinjavanje izbeglica, modernizacija škola....), te s obzirom na prirodu poslovanja, predmetni časopis predstavlja sredstvo koje zaposlenima u Sektoru javnih nabavki omogućava dodatnu konsultaciju i tumačenje nedoumica koje se pojavljuju u svakodnevnom radu.</w:t>
                                <w:br/>
                                <w:t xml:space="preserve">Na taj način se obezbeđuje kvalitetniji rad kod Naručioca, informisanost zaposlenih, dok se učestvovanjem na seminarima omogućuje kontinuirana edukacija. </w:t>
                                <w:br/>
                                <w:t>Kancelarija za javne nabavke dala je Mišljenje br. 404-02-1123/21 od 25.10.2021. godine, kojim je utvrđeno da je osnovana primena pregovaračkog postupka bez objavljivanja javnog poziva, propisanog članom 61. stav 1. tačka1) podtačka (3) ZJN za javnu nabavku stručne literature  za obrazovanje zaposlenih - časopis ''Menadžment javnih nabavki''- paket MJN KONS 3.</w:t>
                                <w:br/>
                                <w:t>Dana 28.10.2021. godine putem Portala javnih nabavki poslat je Poziv Privrednom subjektu, nakon čega je dana 3.11.2021.  godine podneo ponudu sa ponuđenom cenom  329.900,00 RSD bez PDV. Istog dana Naručilac je putem Portala javnih nabavki uputio Poziv za pregovaranje kako je predviđeno Konkursnom dokumentacijom.</w:t>
                                <w:br/>
                                <w:t xml:space="preserve">U fazi pregovaranja Ponuđač nije dostavio novu ponudu , te se  prethodno podneta ponuda  smatra konačnom. </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67"/>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Kratak opis toka pregovora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fazi pregovora Ponuđač nije  dostavio novu ponudu, te će se prethodno podneta ponuda Ponuđača smatrati konačnom.</w:t>
                    <w:br/>
                  </w: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tbl>
      <w:tblPr>
        <w:tblStyle w:val="TableNormal"/>
        <w:tblCellMar>
          <w:left w:w="0" w:type="dxa"/>
          <w:right w:w="0" w:type="dxa"/>
        </w:tblCellMar>
        <w:tblLook w:val="0000"/>
      </w:tblPr>
      <w:tblGrid>
        <w:gridCol w:w="11"/>
        <w:gridCol w:w="4422"/>
        <w:gridCol w:w="10964"/>
        <w:gridCol w:w="13"/>
      </w:tblGrid>
      <w:tr>
        <w:tblPrEx>
          <w:tblCellMar>
            <w:left w:w="0" w:type="dxa"/>
            <w:right w:w="0" w:type="dxa"/>
          </w:tblCellMar>
          <w:tblLook w:val="0000"/>
        </w:tblPrEx>
        <w:trPr>
          <w:trHeight w:val="453"/>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10"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Pregovaranje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Nabavka stručne literature za obrazovanje zaposlenih-časopis "Menadžment javnih nabavki"-paket MJN KONS 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6"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03.11.2021 14:06:22</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04.11.2021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tbl>
            <w:tblPr>
              <w:tblStyle w:val="TableNormal"/>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109907347</w:t>
                    <w:br/>
                    <w:t>CENTAR ZA MENADŽMENT DOO BEOGRAD-VOŽDOVAC</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Nabavka stručne literature za obrazovanje zaposlenih-časopis "Menadžment javnih nabavki"-paket MJN KONS 3</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79"/>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04.11.2021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Nije pristigla niti jedna elektronska ponuda</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755"/>
        </w:trPr>
        <w:tc>
          <w:tcPr>
            <w:tcW w:w="15397"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6"/>
          <w:headerReference w:type="default" r:id="rId17"/>
          <w:footerReference w:type="even" r:id="rId18"/>
          <w:footerReference w:type="default" r:id="rId19"/>
          <w:headerReference w:type="first" r:id="rId20"/>
          <w:footerReference w:type="first" r:id="rId21"/>
          <w:type w:val="nextPage"/>
          <w:pgSz w:w="16837" w:h="11905" w:orient="landscape"/>
          <w:pgMar w:top="566" w:right="566" w:bottom="566" w:left="680" w:header="0" w:footer="0"/>
          <w:cols w:space="720"/>
        </w:sectPr>
      </w:pPr>
    </w:p>
    <w:p w:rsidR="00A9707B" w:rsidP="008C5725" w14:paraId="08E7E656" w14:textId="7CE6A5F4">
      <w:bookmarkStart w:id="31" w:name="_Hlk32839505_0"/>
      <w:bookmarkStart w:id="32" w:name="1_0"/>
      <w:bookmarkEnd w:id="32"/>
      <w:r>
        <w:rPr>
          <w:rFonts w:ascii="Calibri" w:eastAsia="Calibri" w:hAnsi="Calibri" w:cs="Calibri"/>
        </w:rPr>
        <w:t>Odredbom člana 61. stav 1. tačka 1. podtačka 3. Zakona o javnim nabavkama („Službeni glasnik RSˮ br. 91/19) predviđena je mogućnost sprovođenja pregovaračkog postupka, bez objavljivanja javnog poziva, ukoliko samo određeni privredni subjekt može da isporuči dobra, pruži uslugu ili izvede radove zbog zaštite ekskluzivnih prava, uključujući prava intelektualne svojine. Naručilac je sproveo predmetnu vrstu postupka  u cilju efikasnijeg funkcionisanja i kvalitetnijeg rada naručioca.</w:t>
      </w:r>
    </w:p>
    <w:p w:rsidP="008C5725">
      <w:pPr>
        <w:rPr>
          <w:rFonts w:ascii="Calibri" w:eastAsia="Calibri" w:hAnsi="Calibri" w:cs="Calibri"/>
        </w:rPr>
      </w:pPr>
      <w:r>
        <w:rPr>
          <w:rFonts w:ascii="Calibri" w:eastAsia="Calibri" w:hAnsi="Calibri" w:cs="Calibri"/>
        </w:rPr>
        <w:t>Nakon istraživanja tržišta i održanih obuka od strane firme ,,CENTAR ZA MENADŽMENT DOO BEOGRAD-VOŽDOVAC”, „Jedinica za upravljanje projektima u javnom sektoruˮ d.o.o. Beograd, Nemanjina 22-26, Beograd je došla do zaključka da je  časopis  'Menadžment javnih nabavki''- paket MJN KONS 3 prilagođen potrebama naručioca, te da olakšava poslovanje u oblasti javnih nabavki, kao i da odgovara postojećim radnim procesima i potrebama Naručioca.</w:t>
      </w:r>
    </w:p>
    <w:p w:rsidP="008C5725">
      <w:pPr>
        <w:rPr>
          <w:rFonts w:ascii="Calibri" w:eastAsia="Calibri" w:hAnsi="Calibri" w:cs="Calibri"/>
        </w:rPr>
      </w:pPr>
      <w:r>
        <w:rPr>
          <w:rFonts w:ascii="Calibri" w:eastAsia="Calibri" w:hAnsi="Calibri" w:cs="Calibri"/>
        </w:rPr>
        <w:t xml:space="preserve">Takođe,  pretplata za navedeni časopis obuhvata i 30 kotizacija za seminare i savetovanja, čime se omogućuje dodatno usavršavanje lica zaposlenih  na poslovima sprovođenja javnih nabavki kod Naručioca. </w:t>
      </w:r>
    </w:p>
    <w:p w:rsidP="008C5725">
      <w:pPr>
        <w:rPr>
          <w:rFonts w:ascii="Calibri" w:eastAsia="Calibri" w:hAnsi="Calibri" w:cs="Calibri"/>
        </w:rPr>
      </w:pPr>
    </w:p>
    <w:p w:rsidP="008C5725">
      <w:pPr>
        <w:rPr>
          <w:rFonts w:ascii="Calibri" w:eastAsia="Calibri" w:hAnsi="Calibri" w:cs="Calibri"/>
        </w:rPr>
      </w:pPr>
      <w:r>
        <w:rPr>
          <w:rFonts w:ascii="Calibri" w:eastAsia="Calibri" w:hAnsi="Calibri" w:cs="Calibri"/>
        </w:rPr>
        <w:t>CENTAR ZA MENADŽMENT DOO BEOGRAD-VOŽDOVAC”, ul. Save Jovanovića 69, Beograd-Voždovac je jedini i isključivi izdavač i distributer časopisa “Menadžment javnih nabavki ”.</w:t>
      </w:r>
    </w:p>
    <w:p w:rsidP="008C5725">
      <w:pPr>
        <w:rPr>
          <w:rFonts w:ascii="Calibri" w:eastAsia="Calibri" w:hAnsi="Calibri" w:cs="Calibri"/>
        </w:rPr>
      </w:pPr>
    </w:p>
    <w:p w:rsidP="008C5725">
      <w:pPr>
        <w:rPr>
          <w:rFonts w:ascii="Calibri" w:eastAsia="Calibri" w:hAnsi="Calibri" w:cs="Calibri"/>
        </w:rPr>
      </w:pPr>
      <w:r>
        <w:rPr>
          <w:rFonts w:ascii="Calibri" w:eastAsia="Calibri" w:hAnsi="Calibri" w:cs="Calibri"/>
        </w:rPr>
        <w:t>Kako je „Jedinica za upravljanje projektima u javnom sektoruˮ d.o.o. Beograd osnovana odlukom  Vlade RS radi obavljanja poslova upravljanja projektima (istraživanje i razvoj, stambeno zbrinjavanje izbeglica, modernizacija škola....), te s obzirom na prirodu poslovanja, predmetni časopis predstavlja sredstvo koje zaposlenima u Sektoru javnih nabavki omogućava dodatnu konsultaciju i tumačenje nedoumica koje se pojavljuju u svakodnevnom radu.</w:t>
      </w:r>
    </w:p>
    <w:p w:rsidP="008C5725">
      <w:pPr>
        <w:rPr>
          <w:rFonts w:ascii="Calibri" w:eastAsia="Calibri" w:hAnsi="Calibri" w:cs="Calibri"/>
        </w:rPr>
      </w:pPr>
      <w:r>
        <w:rPr>
          <w:rFonts w:ascii="Calibri" w:eastAsia="Calibri" w:hAnsi="Calibri" w:cs="Calibri"/>
        </w:rPr>
        <w:t xml:space="preserve">Na taj način se obezbeđuje kvalitetniji rad kod Naručioca, informisanost zaposlenih, dok se učestvovanjem na seminarima omogućuje kontinuirana edukacija. </w:t>
      </w:r>
    </w:p>
    <w:p w:rsidP="008C5725">
      <w:pPr>
        <w:rPr>
          <w:rFonts w:ascii="Calibri" w:eastAsia="Calibri" w:hAnsi="Calibri" w:cs="Calibri"/>
        </w:rPr>
      </w:pPr>
      <w:r>
        <w:rPr>
          <w:rFonts w:ascii="Calibri" w:eastAsia="Calibri" w:hAnsi="Calibri" w:cs="Calibri"/>
        </w:rPr>
        <w:t>Kancelarija za javne nabavke dala je Mišljenje br. 404-02-1123/21 od 25.10.2021. godine, kojim je utvrđeno da je osnovana primena pregovaračkog postupka bez objavljivanja javnog poziva, propisanog članom 61. stav 1. tačka1) podtačka (3) ZJN za javnu nabavku stručne literature  za obrazovanje zaposlenih - časopis ''Menadžment javnih nabavki''- paket MJN KONS 3.</w:t>
      </w:r>
    </w:p>
    <w:p w:rsidP="008C5725">
      <w:pPr>
        <w:rPr>
          <w:rFonts w:ascii="Calibri" w:eastAsia="Calibri" w:hAnsi="Calibri" w:cs="Calibri"/>
        </w:rPr>
      </w:pPr>
      <w:r>
        <w:rPr>
          <w:rFonts w:ascii="Calibri" w:eastAsia="Calibri" w:hAnsi="Calibri" w:cs="Calibri"/>
        </w:rPr>
        <w:t>Dana 28.10.2021. godine putem Portala javnih nabavki poslat je Poziv Privrednom subjektu, nakon čega je dana 3.11.2021.  godine podneo ponudu sa ponuđenom cenom  329.900,00 RSD bez PDV. Istog dana Naručilac je putem Portala javnih nabavki uputio Poziv za pregovaranje kako je predviđeno Konkursnom dokumentacijom.</w:t>
      </w:r>
    </w:p>
    <w:p w:rsidP="008C5725">
      <w:pPr>
        <w:rPr>
          <w:rFonts w:ascii="Calibri" w:eastAsia="Calibri" w:hAnsi="Calibri" w:cs="Calibri"/>
        </w:rPr>
      </w:pPr>
      <w:r>
        <w:rPr>
          <w:rFonts w:ascii="Calibri" w:eastAsia="Calibri" w:hAnsi="Calibri" w:cs="Calibri"/>
        </w:rPr>
        <w:t xml:space="preserve">U fazi pregovaranja Ponuđač nije dostavio novu ponudu , te se  prethodno podneta ponuda  smatra konačnom. </w:t>
      </w:r>
    </w:p>
    <w:p w:rsidP="008C5725">
      <w:pPr>
        <w:rPr>
          <w:rFonts w:ascii="Calibri" w:eastAsia="Calibri" w:hAnsi="Calibri" w:cs="Calibri"/>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22"/>
      <w:headerReference w:type="default" r:id="rId23"/>
      <w:footerReference w:type="even" r:id="rId24"/>
      <w:footerReference w:type="default" r:id="rId25"/>
      <w:headerReference w:type="first" r:id="rId26"/>
      <w:footerReference w:type="first" r:id="rId27"/>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